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CF1577" w14:paraId="394FA50E" w14:textId="77777777" w:rsidTr="008B1A18">
        <w:trPr>
          <w:cantSplit/>
          <w:trHeight w:hRule="exact" w:val="851"/>
        </w:trPr>
        <w:tc>
          <w:tcPr>
            <w:tcW w:w="1276" w:type="dxa"/>
            <w:tcBorders>
              <w:bottom w:val="single" w:sz="4" w:space="0" w:color="auto"/>
            </w:tcBorders>
            <w:vAlign w:val="bottom"/>
          </w:tcPr>
          <w:p w14:paraId="59D48B87" w14:textId="77777777" w:rsidR="00CF1577" w:rsidRDefault="00CF1577" w:rsidP="008B1A18">
            <w:pPr>
              <w:spacing w:after="80"/>
            </w:pPr>
          </w:p>
        </w:tc>
        <w:tc>
          <w:tcPr>
            <w:tcW w:w="2268" w:type="dxa"/>
            <w:tcBorders>
              <w:bottom w:val="single" w:sz="4" w:space="0" w:color="auto"/>
            </w:tcBorders>
            <w:vAlign w:val="bottom"/>
          </w:tcPr>
          <w:p w14:paraId="49F996CE" w14:textId="72DABF2C" w:rsidR="00CF1577" w:rsidRDefault="00CF1577" w:rsidP="008B1A18">
            <w:pPr>
              <w:spacing w:after="80" w:line="300" w:lineRule="exact"/>
              <w:rPr>
                <w:b/>
                <w:sz w:val="24"/>
                <w:szCs w:val="24"/>
              </w:rPr>
            </w:pPr>
          </w:p>
        </w:tc>
        <w:tc>
          <w:tcPr>
            <w:tcW w:w="6095" w:type="dxa"/>
            <w:gridSpan w:val="2"/>
            <w:tcBorders>
              <w:bottom w:val="single" w:sz="4" w:space="0" w:color="auto"/>
            </w:tcBorders>
            <w:vAlign w:val="bottom"/>
          </w:tcPr>
          <w:p w14:paraId="071B31BC" w14:textId="06AB139D" w:rsidR="00CF1577" w:rsidRPr="00CF1577" w:rsidRDefault="00CF1577" w:rsidP="008B1A18">
            <w:pPr>
              <w:suppressAutoHyphens w:val="0"/>
              <w:spacing w:after="20"/>
              <w:jc w:val="right"/>
              <w:rPr>
                <w:lang w:val="en-GB"/>
              </w:rPr>
            </w:pPr>
            <w:r w:rsidRPr="00CF1577">
              <w:rPr>
                <w:sz w:val="40"/>
                <w:lang w:val="en-GB"/>
              </w:rPr>
              <w:t>CEDAW</w:t>
            </w:r>
            <w:r w:rsidRPr="00CF1577">
              <w:rPr>
                <w:lang w:val="en-GB"/>
              </w:rPr>
              <w:t>/C/VEN/CO/9</w:t>
            </w:r>
          </w:p>
        </w:tc>
      </w:tr>
      <w:tr w:rsidR="00CF1577" w14:paraId="70631EC3" w14:textId="77777777" w:rsidTr="008B1A18">
        <w:trPr>
          <w:cantSplit/>
          <w:trHeight w:hRule="exact" w:val="2835"/>
        </w:trPr>
        <w:tc>
          <w:tcPr>
            <w:tcW w:w="1276" w:type="dxa"/>
            <w:tcBorders>
              <w:top w:val="single" w:sz="4" w:space="0" w:color="auto"/>
              <w:bottom w:val="single" w:sz="12" w:space="0" w:color="auto"/>
            </w:tcBorders>
          </w:tcPr>
          <w:p w14:paraId="3F7BE6EC" w14:textId="4CE4DD24" w:rsidR="00CF1577" w:rsidRDefault="00CF1577" w:rsidP="008B1A18">
            <w:pPr>
              <w:spacing w:before="120"/>
              <w:jc w:val="center"/>
            </w:pPr>
          </w:p>
        </w:tc>
        <w:tc>
          <w:tcPr>
            <w:tcW w:w="5528" w:type="dxa"/>
            <w:gridSpan w:val="2"/>
            <w:tcBorders>
              <w:top w:val="single" w:sz="4" w:space="0" w:color="auto"/>
              <w:bottom w:val="single" w:sz="12" w:space="0" w:color="auto"/>
            </w:tcBorders>
          </w:tcPr>
          <w:p w14:paraId="0F56C79A" w14:textId="1739125E" w:rsidR="00CF1577" w:rsidRPr="00CF1577" w:rsidRDefault="00731DC6" w:rsidP="008B1A18">
            <w:pPr>
              <w:spacing w:before="120" w:line="380" w:lineRule="exact"/>
              <w:rPr>
                <w:b/>
                <w:sz w:val="34"/>
                <w:szCs w:val="40"/>
                <w:lang w:val="en-GB"/>
              </w:rPr>
            </w:pPr>
            <w:r>
              <w:rPr>
                <w:b/>
                <w:sz w:val="34"/>
                <w:szCs w:val="40"/>
                <w:lang w:val="en-GB"/>
              </w:rPr>
              <w:t>Advance unedited version</w:t>
            </w:r>
          </w:p>
        </w:tc>
        <w:tc>
          <w:tcPr>
            <w:tcW w:w="2835" w:type="dxa"/>
            <w:tcBorders>
              <w:top w:val="single" w:sz="4" w:space="0" w:color="auto"/>
              <w:bottom w:val="single" w:sz="12" w:space="0" w:color="auto"/>
            </w:tcBorders>
          </w:tcPr>
          <w:p w14:paraId="0F340696" w14:textId="5271EAD2" w:rsidR="00CF1577" w:rsidRPr="00CF1577" w:rsidRDefault="00CF1577" w:rsidP="008B1A18">
            <w:pPr>
              <w:suppressAutoHyphens w:val="0"/>
              <w:spacing w:before="240" w:line="240" w:lineRule="exact"/>
              <w:rPr>
                <w:lang w:val="en-GB"/>
              </w:rPr>
            </w:pPr>
            <w:r w:rsidRPr="00CF1577">
              <w:rPr>
                <w:lang w:val="en-GB"/>
              </w:rPr>
              <w:t xml:space="preserve">Distr.: </w:t>
            </w:r>
            <w:r w:rsidR="00DE44AE">
              <w:rPr>
                <w:lang w:val="en-GB"/>
              </w:rPr>
              <w:t>General</w:t>
            </w:r>
          </w:p>
          <w:p w14:paraId="59ED5F57" w14:textId="0277A966" w:rsidR="00CF1577" w:rsidRPr="00CF1577" w:rsidRDefault="00890B2C" w:rsidP="008B1A18">
            <w:pPr>
              <w:suppressAutoHyphens w:val="0"/>
              <w:rPr>
                <w:lang w:val="en-GB"/>
              </w:rPr>
            </w:pPr>
            <w:r>
              <w:rPr>
                <w:lang w:val="en-GB"/>
              </w:rPr>
              <w:t>30</w:t>
            </w:r>
            <w:r w:rsidRPr="00CF1577">
              <w:rPr>
                <w:lang w:val="en-GB"/>
              </w:rPr>
              <w:t xml:space="preserve"> </w:t>
            </w:r>
            <w:r w:rsidR="00CF1577" w:rsidRPr="00CF1577">
              <w:rPr>
                <w:lang w:val="en-GB"/>
              </w:rPr>
              <w:t>May 2023</w:t>
            </w:r>
          </w:p>
          <w:p w14:paraId="026F64F3" w14:textId="77777777" w:rsidR="00CF1577" w:rsidRPr="00CF1577" w:rsidRDefault="00CF1577" w:rsidP="008B1A18">
            <w:pPr>
              <w:suppressAutoHyphens w:val="0"/>
              <w:rPr>
                <w:lang w:val="en-GB"/>
              </w:rPr>
            </w:pPr>
          </w:p>
          <w:p w14:paraId="068077AD" w14:textId="77777777" w:rsidR="00CF1577" w:rsidRPr="00CF1577" w:rsidRDefault="00CF1577" w:rsidP="008B1A18">
            <w:pPr>
              <w:suppressAutoHyphens w:val="0"/>
              <w:rPr>
                <w:lang w:val="en-GB"/>
              </w:rPr>
            </w:pPr>
            <w:r w:rsidRPr="00CF1577">
              <w:rPr>
                <w:lang w:val="en-GB"/>
              </w:rPr>
              <w:t>Original: English</w:t>
            </w:r>
          </w:p>
          <w:p w14:paraId="097BE093" w14:textId="685321CF" w:rsidR="00CF1577" w:rsidRPr="00CF1577" w:rsidRDefault="00CF1577" w:rsidP="008B1A18">
            <w:pPr>
              <w:suppressAutoHyphens w:val="0"/>
              <w:rPr>
                <w:lang w:val="en-GB"/>
              </w:rPr>
            </w:pPr>
          </w:p>
        </w:tc>
      </w:tr>
    </w:tbl>
    <w:p w14:paraId="25A018B4" w14:textId="77777777" w:rsidR="00CF1577" w:rsidRDefault="00CF1577" w:rsidP="00CF1577">
      <w:pPr>
        <w:spacing w:before="120"/>
        <w:rPr>
          <w:b/>
          <w:sz w:val="24"/>
          <w:szCs w:val="24"/>
        </w:rPr>
      </w:pPr>
      <w:r>
        <w:rPr>
          <w:b/>
          <w:sz w:val="24"/>
          <w:szCs w:val="24"/>
        </w:rPr>
        <w:t xml:space="preserve">Committee on the Elimination of Discrimination </w:t>
      </w:r>
      <w:r>
        <w:rPr>
          <w:b/>
          <w:sz w:val="24"/>
          <w:szCs w:val="24"/>
        </w:rPr>
        <w:br/>
        <w:t>against Women</w:t>
      </w:r>
    </w:p>
    <w:p w14:paraId="0685DA86" w14:textId="0E61CEC9" w:rsidR="00CF1577" w:rsidRDefault="00CF1577" w:rsidP="00CF1577">
      <w:pPr>
        <w:pStyle w:val="HChG"/>
      </w:pPr>
      <w:r>
        <w:tab/>
      </w:r>
      <w:r>
        <w:tab/>
        <w:t>Concluding observations on the ninth periodic report of Venezuela (Bolivarian Republic of)</w:t>
      </w:r>
      <w:r w:rsidR="00DE44AE" w:rsidRPr="00DE44AE">
        <w:rPr>
          <w:rStyle w:val="Refdenotaalpie"/>
          <w:sz w:val="20"/>
          <w:vertAlign w:val="baseline"/>
        </w:rPr>
        <w:footnoteReference w:customMarkFollows="1" w:id="1"/>
        <w:t>*</w:t>
      </w:r>
    </w:p>
    <w:p w14:paraId="6C92CCBC" w14:textId="1B866873" w:rsidR="00CF1577" w:rsidRPr="001C32C7" w:rsidRDefault="00CF1577" w:rsidP="00DE44AE">
      <w:pPr>
        <w:pStyle w:val="SingleTxtG"/>
      </w:pPr>
      <w:r w:rsidRPr="001C32C7">
        <w:t>1.</w:t>
      </w:r>
      <w:r w:rsidRPr="001C32C7">
        <w:tab/>
      </w:r>
      <w:r w:rsidRPr="00A36041">
        <w:t>The Committee considered the ninth periodic report of Venezuela (CEDAW/C/VEN/9) at its 19</w:t>
      </w:r>
      <w:r>
        <w:t>85</w:t>
      </w:r>
      <w:r w:rsidRPr="00A36041">
        <w:t>th and 19</w:t>
      </w:r>
      <w:r>
        <w:t>86th</w:t>
      </w:r>
      <w:r w:rsidRPr="00A36041">
        <w:t xml:space="preserve"> meetings (CEDAW/C/SR.19</w:t>
      </w:r>
      <w:r>
        <w:t>85</w:t>
      </w:r>
      <w:r w:rsidRPr="00A36041">
        <w:t xml:space="preserve"> and CEDAW/C/SR.19</w:t>
      </w:r>
      <w:r>
        <w:t>86</w:t>
      </w:r>
      <w:r w:rsidRPr="00A36041">
        <w:t>), held on 18 May 2023. The list of issues and questions raised by the pre-sessional working group is contained in CEDAW/C/VEN/Q/9, and the responses of Venezuela are contained in CEDAW/C/VEN/RQ/9.</w:t>
      </w:r>
      <w:r>
        <w:t xml:space="preserve"> </w:t>
      </w:r>
    </w:p>
    <w:p w14:paraId="56C52821" w14:textId="77777777" w:rsidR="00CF1577" w:rsidRPr="001C32C7" w:rsidRDefault="00CF1577" w:rsidP="00CF1577">
      <w:pPr>
        <w:pStyle w:val="H1G"/>
      </w:pPr>
      <w:r w:rsidRPr="001C32C7">
        <w:tab/>
        <w:t>A.</w:t>
      </w:r>
      <w:r w:rsidRPr="001C32C7">
        <w:tab/>
        <w:t>Introduction</w:t>
      </w:r>
    </w:p>
    <w:p w14:paraId="64A1601D" w14:textId="77777777" w:rsidR="00CF1577" w:rsidRPr="001B65A3" w:rsidRDefault="00CF1577" w:rsidP="00CF1577">
      <w:pPr>
        <w:pStyle w:val="SingleTxtG"/>
      </w:pPr>
      <w:r w:rsidRPr="006B37E7">
        <w:t>2.</w:t>
      </w:r>
      <w:r w:rsidRPr="006B37E7">
        <w:tab/>
        <w:t>The Committee appreciates the submission by the State party of its ninth periodic report</w:t>
      </w:r>
      <w:r w:rsidRPr="006F0C52">
        <w:t>. It also appreciates the State party’s follow-up report (CEDAW/C/VEN/CO/7-8/Add.1)</w:t>
      </w:r>
      <w:r w:rsidRPr="006B37E7">
        <w:t xml:space="preserve"> and its written replies to the list of issues raised by the pre-sessional working group, as well as the oral presentation by the delegation and the further clarifications provided in response to the questions posed orally by the Committee during the dialogue.</w:t>
      </w:r>
      <w:r w:rsidRPr="001B65A3">
        <w:t xml:space="preserve"> </w:t>
      </w:r>
    </w:p>
    <w:p w14:paraId="1DF1287B" w14:textId="562F3F39" w:rsidR="00CF1577" w:rsidRPr="00BA7555" w:rsidRDefault="00CF1577" w:rsidP="00CF1577">
      <w:pPr>
        <w:pStyle w:val="SingleTxtG"/>
      </w:pPr>
      <w:r w:rsidRPr="006B37E7">
        <w:t>3.</w:t>
      </w:r>
      <w:r w:rsidRPr="006B37E7">
        <w:tab/>
        <w:t xml:space="preserve">The Committee commends the State party for its high-level delegation, which was headed by </w:t>
      </w:r>
      <w:r>
        <w:t xml:space="preserve">Her Excellency Ms. </w:t>
      </w:r>
      <w:r w:rsidRPr="00572BDA">
        <w:t>Diva Ylayaly Guzm</w:t>
      </w:r>
      <w:r>
        <w:t>án,</w:t>
      </w:r>
      <w:r w:rsidRPr="00572BDA">
        <w:t xml:space="preserve"> Minister of People’s Power for Women and Gender Equality, and included representatives of </w:t>
      </w:r>
      <w:r>
        <w:t xml:space="preserve">the National Assembly, the Supreme </w:t>
      </w:r>
      <w:r w:rsidR="008C08B8">
        <w:t>Tribunal</w:t>
      </w:r>
      <w:r>
        <w:t xml:space="preserve"> of Justice, </w:t>
      </w:r>
      <w:r w:rsidRPr="008B1E98">
        <w:t xml:space="preserve">the National Human Rights Council, </w:t>
      </w:r>
      <w:r>
        <w:t xml:space="preserve">the National Electoral Council, the Public Prosecutor's Office, the </w:t>
      </w:r>
      <w:r w:rsidRPr="005E2D08">
        <w:t>Ministry of People’s Power for Women and Gender Equality,</w:t>
      </w:r>
      <w:r w:rsidRPr="00572BDA">
        <w:t xml:space="preserve"> </w:t>
      </w:r>
      <w:r>
        <w:t xml:space="preserve">Ministry of People's Power for Internal Relations, Justice and Peace, </w:t>
      </w:r>
      <w:r w:rsidRPr="008B1E98">
        <w:t>Ministry of People’s Power for Health, Ministry of People’s Power for Foreign Affairs</w:t>
      </w:r>
      <w:r>
        <w:t>,</w:t>
      </w:r>
      <w:r w:rsidRPr="006B37E7">
        <w:t xml:space="preserve"> </w:t>
      </w:r>
      <w:r w:rsidRPr="008B1E98">
        <w:t xml:space="preserve">Ministry of People’s Power for </w:t>
      </w:r>
      <w:r>
        <w:t xml:space="preserve">Science and Technology </w:t>
      </w:r>
      <w:r w:rsidRPr="006B37E7">
        <w:t>and the Permanent Mission of the Bolivarian Republic of Venezuela to the United Nations Office and other international organizations in Geneva.</w:t>
      </w:r>
      <w:r>
        <w:t xml:space="preserve"> </w:t>
      </w:r>
    </w:p>
    <w:p w14:paraId="47AAB865" w14:textId="77777777" w:rsidR="00CF1577" w:rsidRPr="00BA7555" w:rsidRDefault="00CF1577" w:rsidP="00CF1577">
      <w:pPr>
        <w:pStyle w:val="H1G"/>
      </w:pPr>
      <w:r w:rsidRPr="00BA7555">
        <w:tab/>
        <w:t>B.</w:t>
      </w:r>
      <w:r w:rsidRPr="00BA7555">
        <w:tab/>
        <w:t>Positive aspects</w:t>
      </w:r>
    </w:p>
    <w:p w14:paraId="7B70DFFE" w14:textId="77777777" w:rsidR="00CF1577" w:rsidRPr="007A7EE9" w:rsidRDefault="00CF1577" w:rsidP="00CF1577">
      <w:pPr>
        <w:pStyle w:val="SingleTxtG"/>
      </w:pPr>
      <w:r w:rsidRPr="007A7EE9">
        <w:t>4.</w:t>
      </w:r>
      <w:r w:rsidRPr="007A7EE9">
        <w:tab/>
        <w:t xml:space="preserve">The Committee welcomes the progress achieved since the consideration in 2014 of the State party’s combined seventh and eight periodic reports (CEDAW/C/VEN/7-8) in undertaking legislative reforms, in particular the adoption of the following: </w:t>
      </w:r>
    </w:p>
    <w:p w14:paraId="344E034B" w14:textId="77777777" w:rsidR="00CF1577" w:rsidRDefault="00CF1577" w:rsidP="00CF1577">
      <w:pPr>
        <w:pStyle w:val="SingleTxtG"/>
      </w:pPr>
      <w:r w:rsidRPr="0049510C">
        <w:tab/>
        <w:t>(a)</w:t>
      </w:r>
      <w:r w:rsidRPr="0049510C">
        <w:tab/>
      </w:r>
      <w:r>
        <w:t>The</w:t>
      </w:r>
      <w:r w:rsidRPr="0049510C">
        <w:t xml:space="preserve"> Law for</w:t>
      </w:r>
      <w:r w:rsidRPr="00CF4C4E">
        <w:t xml:space="preserve"> the Respect of Human Rights in the Exercise of the Public Function</w:t>
      </w:r>
      <w:r>
        <w:t xml:space="preserve">, in </w:t>
      </w:r>
      <w:r w:rsidRPr="00CF4C4E">
        <w:t>2021</w:t>
      </w:r>
      <w:r>
        <w:t>;</w:t>
      </w:r>
    </w:p>
    <w:p w14:paraId="2FE11D01" w14:textId="77777777" w:rsidR="00CF1577" w:rsidRDefault="00CF1577" w:rsidP="00CF1577">
      <w:pPr>
        <w:pStyle w:val="SingleTxtG"/>
      </w:pPr>
      <w:r>
        <w:tab/>
        <w:t>(b)</w:t>
      </w:r>
      <w:r>
        <w:tab/>
        <w:t xml:space="preserve">The </w:t>
      </w:r>
      <w:r w:rsidRPr="00CF4C4E">
        <w:t>Law for the Prevention and Eradication of Sexual Abuse against Children and Adolescents</w:t>
      </w:r>
      <w:r>
        <w:t xml:space="preserve">, in </w:t>
      </w:r>
      <w:r w:rsidRPr="00CF4C4E">
        <w:t>2021</w:t>
      </w:r>
      <w:r>
        <w:t>;</w:t>
      </w:r>
      <w:r w:rsidRPr="00CF4C4E">
        <w:t xml:space="preserve"> </w:t>
      </w:r>
    </w:p>
    <w:p w14:paraId="6A227126" w14:textId="6D995CAC" w:rsidR="00CF1577" w:rsidRDefault="00CF1577" w:rsidP="00CF1577">
      <w:pPr>
        <w:pStyle w:val="SingleTxtG"/>
      </w:pPr>
      <w:r>
        <w:lastRenderedPageBreak/>
        <w:tab/>
        <w:t>(c)</w:t>
      </w:r>
      <w:r>
        <w:tab/>
        <w:t xml:space="preserve">The </w:t>
      </w:r>
      <w:r w:rsidR="00E867EB">
        <w:t xml:space="preserve">Organic </w:t>
      </w:r>
      <w:r>
        <w:t xml:space="preserve">Law </w:t>
      </w:r>
      <w:r w:rsidRPr="00CF4C4E">
        <w:t xml:space="preserve">for the Integral Care and Development </w:t>
      </w:r>
      <w:r w:rsidR="000C78A5" w:rsidRPr="00CF4C4E">
        <w:t>of</w:t>
      </w:r>
      <w:r w:rsidR="000C78A5">
        <w:t xml:space="preserve"> Older persons</w:t>
      </w:r>
      <w:r>
        <w:t xml:space="preserve">, in </w:t>
      </w:r>
      <w:r w:rsidRPr="00CF4C4E">
        <w:t>2021</w:t>
      </w:r>
      <w:r>
        <w:t>;</w:t>
      </w:r>
    </w:p>
    <w:p w14:paraId="730E60CA" w14:textId="64855A83" w:rsidR="00140BF1" w:rsidRDefault="00CF1577" w:rsidP="00140BF1">
      <w:pPr>
        <w:pStyle w:val="SingleTxtG"/>
      </w:pPr>
      <w:r>
        <w:tab/>
        <w:t>(d)</w:t>
      </w:r>
      <w:r>
        <w:tab/>
        <w:t xml:space="preserve">The </w:t>
      </w:r>
      <w:r w:rsidRPr="00CF4C4E">
        <w:t xml:space="preserve">Law of the </w:t>
      </w:r>
      <w:r w:rsidR="00DE3372">
        <w:t>s</w:t>
      </w:r>
      <w:r w:rsidRPr="00CF4C4E">
        <w:t xml:space="preserve">ystem of </w:t>
      </w:r>
      <w:r w:rsidR="00DE3372">
        <w:t>c</w:t>
      </w:r>
      <w:r w:rsidRPr="00CF4C4E">
        <w:t xml:space="preserve">are for </w:t>
      </w:r>
      <w:r w:rsidR="00DE3372">
        <w:t>l</w:t>
      </w:r>
      <w:r w:rsidRPr="00CF4C4E">
        <w:t>ife</w:t>
      </w:r>
      <w:r>
        <w:t xml:space="preserve">, in </w:t>
      </w:r>
      <w:r w:rsidRPr="00CF4C4E">
        <w:t>2021</w:t>
      </w:r>
      <w:r>
        <w:t>;</w:t>
      </w:r>
    </w:p>
    <w:p w14:paraId="00AB75F9" w14:textId="529BB53B" w:rsidR="00140BF1" w:rsidRDefault="00140BF1" w:rsidP="00140BF1">
      <w:pPr>
        <w:pStyle w:val="SingleTxtG"/>
      </w:pPr>
      <w:r>
        <w:tab/>
      </w:r>
      <w:r w:rsidR="00CF1577">
        <w:t>(</w:t>
      </w:r>
      <w:r>
        <w:t>e</w:t>
      </w:r>
      <w:r w:rsidR="00CF1577">
        <w:t>)</w:t>
      </w:r>
      <w:r w:rsidR="00CF1577">
        <w:tab/>
        <w:t xml:space="preserve">The </w:t>
      </w:r>
      <w:r w:rsidR="00CF1577" w:rsidRPr="00CF4C4E">
        <w:t xml:space="preserve">Law of the </w:t>
      </w:r>
      <w:r w:rsidR="00DE3372">
        <w:t>g</w:t>
      </w:r>
      <w:r w:rsidR="00CF1577" w:rsidRPr="00CF4C4E">
        <w:t xml:space="preserve">reat </w:t>
      </w:r>
      <w:r w:rsidR="00DE3372">
        <w:t>Mission “Chamba Juve</w:t>
      </w:r>
      <w:r w:rsidR="000B6BCC">
        <w:t>nil”</w:t>
      </w:r>
      <w:r w:rsidR="00CF1577">
        <w:t xml:space="preserve">, in </w:t>
      </w:r>
      <w:r w:rsidR="00CF1577" w:rsidRPr="00CF4C4E">
        <w:t>2021</w:t>
      </w:r>
      <w:r w:rsidR="00CF1577">
        <w:t xml:space="preserve">; </w:t>
      </w:r>
    </w:p>
    <w:p w14:paraId="4735F887" w14:textId="1C94A21A" w:rsidR="00CF1577" w:rsidRDefault="00140BF1" w:rsidP="00140BF1">
      <w:pPr>
        <w:pStyle w:val="SingleTxtG"/>
      </w:pPr>
      <w:r>
        <w:tab/>
      </w:r>
      <w:r w:rsidR="00CF1577">
        <w:t>(</w:t>
      </w:r>
      <w:r>
        <w:t>f</w:t>
      </w:r>
      <w:r w:rsidR="00CF1577">
        <w:t>)</w:t>
      </w:r>
      <w:r w:rsidR="00CF1577">
        <w:tab/>
        <w:t xml:space="preserve">The </w:t>
      </w:r>
      <w:r w:rsidR="00CF1577" w:rsidRPr="00097316">
        <w:t xml:space="preserve">Law for the </w:t>
      </w:r>
      <w:r w:rsidR="000B6BCC">
        <w:t>p</w:t>
      </w:r>
      <w:r w:rsidR="00CF1577" w:rsidRPr="00097316">
        <w:t xml:space="preserve">romotion and </w:t>
      </w:r>
      <w:r w:rsidR="000B6BCC">
        <w:t>u</w:t>
      </w:r>
      <w:r w:rsidR="00CF1577" w:rsidRPr="00097316">
        <w:t xml:space="preserve">se of </w:t>
      </w:r>
      <w:r w:rsidR="00CD7167">
        <w:t>l</w:t>
      </w:r>
      <w:r w:rsidR="00CF1577" w:rsidRPr="00097316">
        <w:t>anguage</w:t>
      </w:r>
      <w:r w:rsidR="00CD7167">
        <w:t xml:space="preserve"> with gender perspective</w:t>
      </w:r>
      <w:r w:rsidR="00CF1577">
        <w:t>, in 2021</w:t>
      </w:r>
      <w:r>
        <w:t>.</w:t>
      </w:r>
    </w:p>
    <w:p w14:paraId="7C8C30B3" w14:textId="77777777" w:rsidR="00CF1577" w:rsidRDefault="00CF1577" w:rsidP="00CF1577">
      <w:pPr>
        <w:pStyle w:val="SingleTxtG"/>
      </w:pPr>
      <w:r w:rsidRPr="0027727E">
        <w:t>5.</w:t>
      </w:r>
      <w:r w:rsidRPr="0027727E">
        <w:tab/>
        <w:t xml:space="preserve">The Committee welcomes the State party’s efforts to improve its institutional and policy framework aimed at accelerating the elimination of discrimination against women and promoting gender equality, such as the adoption </w:t>
      </w:r>
      <w:r>
        <w:t xml:space="preserve">or establishment </w:t>
      </w:r>
      <w:r w:rsidRPr="0027727E">
        <w:t>of the following:</w:t>
      </w:r>
    </w:p>
    <w:p w14:paraId="2935452E" w14:textId="77777777" w:rsidR="00CF1577" w:rsidRPr="006D4382" w:rsidRDefault="00CF1577" w:rsidP="00CF1577">
      <w:pPr>
        <w:pStyle w:val="SingleTxtG"/>
      </w:pPr>
      <w:r w:rsidRPr="006D4382">
        <w:tab/>
        <w:t>(a)</w:t>
      </w:r>
      <w:r w:rsidRPr="006D4382">
        <w:tab/>
      </w:r>
      <w:r w:rsidRPr="007E3791">
        <w:t xml:space="preserve">The </w:t>
      </w:r>
      <w:r w:rsidRPr="006D4382">
        <w:t>National Council Against Trafficking in Persons, in 2021;</w:t>
      </w:r>
    </w:p>
    <w:p w14:paraId="7BABBCD1" w14:textId="77777777" w:rsidR="00CF1577" w:rsidRPr="0027727E" w:rsidRDefault="00CF1577" w:rsidP="00CF1577">
      <w:pPr>
        <w:pStyle w:val="SingleTxtG"/>
      </w:pPr>
      <w:r w:rsidRPr="00127CC4">
        <w:tab/>
        <w:t>(b)</w:t>
      </w:r>
      <w:r w:rsidRPr="00127CC4">
        <w:tab/>
        <w:t>The Special Ombudsman's Office for the Protection of Migrants, Refugees and Victims of Trafficking in Persons, in 2020;</w:t>
      </w:r>
    </w:p>
    <w:p w14:paraId="0677863B" w14:textId="0D1B92FE" w:rsidR="00CF1577" w:rsidRDefault="00CF1577" w:rsidP="00CF1577">
      <w:pPr>
        <w:pStyle w:val="SingleTxtG"/>
      </w:pPr>
      <w:r w:rsidRPr="00C578C1">
        <w:tab/>
        <w:t>(</w:t>
      </w:r>
      <w:r>
        <w:t>c</w:t>
      </w:r>
      <w:r w:rsidRPr="00C578C1">
        <w:t>)</w:t>
      </w:r>
      <w:r w:rsidRPr="00C578C1">
        <w:tab/>
        <w:t>The Homeland’s Plan “</w:t>
      </w:r>
      <w:r w:rsidR="00287791">
        <w:t>Vuelta</w:t>
      </w:r>
      <w:r w:rsidRPr="00C578C1">
        <w:t>a la Patria” 2018-2025, built on the principle of gender equality and equity</w:t>
      </w:r>
      <w:r>
        <w:t>, in 2019</w:t>
      </w:r>
      <w:r w:rsidRPr="00C578C1">
        <w:t>;</w:t>
      </w:r>
    </w:p>
    <w:p w14:paraId="326532EB" w14:textId="5598F111" w:rsidR="00CF1577" w:rsidRPr="003D52CD" w:rsidRDefault="00CF1577" w:rsidP="00CF1577">
      <w:pPr>
        <w:pStyle w:val="SingleTxtG"/>
      </w:pPr>
      <w:r w:rsidRPr="006D4382">
        <w:tab/>
        <w:t>(</w:t>
      </w:r>
      <w:r>
        <w:t>d</w:t>
      </w:r>
      <w:r w:rsidRPr="006D4382">
        <w:t>)</w:t>
      </w:r>
      <w:r w:rsidRPr="006D4382">
        <w:tab/>
        <w:t xml:space="preserve">The Economic and Social Development Plan, known as </w:t>
      </w:r>
      <w:r w:rsidR="00FD43E6">
        <w:t>“</w:t>
      </w:r>
      <w:r w:rsidR="00B800C2">
        <w:t>Plan de la Patria”</w:t>
      </w:r>
      <w:r w:rsidRPr="006D4382">
        <w:t xml:space="preserve"> 2019–2025, in 2019</w:t>
      </w:r>
      <w:r w:rsidR="00140BF1">
        <w:t>.</w:t>
      </w:r>
    </w:p>
    <w:p w14:paraId="6F5F1EA9" w14:textId="77777777" w:rsidR="00CF1577" w:rsidRPr="0027727E" w:rsidRDefault="00CF1577" w:rsidP="00CF1577">
      <w:pPr>
        <w:pStyle w:val="H1G"/>
      </w:pPr>
      <w:r w:rsidRPr="0027727E">
        <w:tab/>
        <w:t>C.</w:t>
      </w:r>
      <w:r w:rsidRPr="0027727E">
        <w:tab/>
        <w:t>Sustainable Development Goals</w:t>
      </w:r>
    </w:p>
    <w:p w14:paraId="2F282990" w14:textId="77777777" w:rsidR="00CF1577" w:rsidRPr="0027727E" w:rsidRDefault="00CF1577" w:rsidP="00CF1577">
      <w:pPr>
        <w:pStyle w:val="SingleTxtG"/>
        <w:rPr>
          <w:b/>
          <w:bCs/>
        </w:rPr>
      </w:pPr>
      <w:r>
        <w:t>6</w:t>
      </w:r>
      <w:r w:rsidRPr="0027727E">
        <w:t>.</w:t>
      </w:r>
      <w:r w:rsidRPr="0027727E">
        <w:tab/>
      </w:r>
      <w:r w:rsidRPr="0027727E">
        <w:rPr>
          <w:b/>
          <w:bCs/>
        </w:rPr>
        <w:t xml:space="preserve">The Committee welcomes the international support for the Sustainable Development Goals and calls for the realization of de jure (legal) and de facto (substantive) gender equality, in accordance with the provisions of the Convention, throughout the process of implementing the 2030 Agenda for Sustainable Development. The Committee recalls the importance of Goal 5 and of the mainstreaming of the principles of equality and non-discrimination throughout all 17 Goals. It urges the State party to recognize women as the driving force of the sustainable development of </w:t>
      </w:r>
      <w:r>
        <w:rPr>
          <w:b/>
          <w:bCs/>
        </w:rPr>
        <w:t>Venezuela</w:t>
      </w:r>
      <w:r w:rsidRPr="0027727E">
        <w:rPr>
          <w:b/>
          <w:bCs/>
        </w:rPr>
        <w:t xml:space="preserve">, and to adopt relevant policies and strategies to that effect. </w:t>
      </w:r>
    </w:p>
    <w:p w14:paraId="32CF5001" w14:textId="77777777" w:rsidR="00CF1577" w:rsidRPr="0027727E" w:rsidRDefault="00CF1577" w:rsidP="00CF1577">
      <w:pPr>
        <w:pStyle w:val="H1G"/>
      </w:pPr>
      <w:r w:rsidRPr="0027727E">
        <w:tab/>
        <w:t>D.</w:t>
      </w:r>
      <w:r w:rsidRPr="0027727E">
        <w:tab/>
        <w:t>Parliament</w:t>
      </w:r>
    </w:p>
    <w:p w14:paraId="563D1645" w14:textId="77777777" w:rsidR="00CF1577" w:rsidRPr="0027727E" w:rsidRDefault="00CF1577" w:rsidP="00CF1577">
      <w:pPr>
        <w:pStyle w:val="SingleTxtG"/>
        <w:rPr>
          <w:b/>
          <w:bCs/>
        </w:rPr>
      </w:pPr>
      <w:r>
        <w:t>7</w:t>
      </w:r>
      <w:r w:rsidRPr="0027727E">
        <w:t>.</w:t>
      </w:r>
      <w:r w:rsidRPr="0027727E">
        <w:tab/>
      </w:r>
      <w:r w:rsidRPr="0027727E">
        <w:rPr>
          <w:b/>
          <w:bCs/>
        </w:rPr>
        <w:t xml:space="preserve">The Committee stresses the crucial role of the legislative power in ensuring the full implementation of the Convention (see </w:t>
      </w:r>
      <w:hyperlink r:id="rId8" w:history="1">
        <w:r w:rsidRPr="0027727E">
          <w:rPr>
            <w:rStyle w:val="Hipervnculo"/>
            <w:b/>
            <w:bCs/>
          </w:rPr>
          <w:t>A/65/38</w:t>
        </w:r>
      </w:hyperlink>
      <w:r w:rsidRPr="0027727E">
        <w:rPr>
          <w:b/>
          <w:bCs/>
        </w:rPr>
        <w:t xml:space="preserve">, part two, annex VI). It invites the </w:t>
      </w:r>
      <w:r>
        <w:rPr>
          <w:b/>
          <w:bCs/>
        </w:rPr>
        <w:t>National</w:t>
      </w:r>
      <w:r w:rsidRPr="0027727E">
        <w:rPr>
          <w:b/>
          <w:bCs/>
        </w:rPr>
        <w:t xml:space="preserve"> Assembly, in line with its mandate, to take the necessary steps regarding the implementation of the present concluding observations between now and the submission of the next periodic report under the Convention.</w:t>
      </w:r>
    </w:p>
    <w:p w14:paraId="008C4217" w14:textId="77777777" w:rsidR="00CF1577" w:rsidRPr="0027727E" w:rsidRDefault="00CF1577" w:rsidP="00CF1577">
      <w:pPr>
        <w:pStyle w:val="H1G"/>
      </w:pPr>
      <w:r w:rsidRPr="0027727E">
        <w:tab/>
        <w:t>E.</w:t>
      </w:r>
      <w:r w:rsidRPr="0027727E">
        <w:tab/>
        <w:t>Principal areas of concern and recommendations</w:t>
      </w:r>
    </w:p>
    <w:p w14:paraId="1FD02AD9" w14:textId="77777777" w:rsidR="00CF1577" w:rsidRDefault="00CF1577" w:rsidP="00CF1577">
      <w:pPr>
        <w:pStyle w:val="H23G"/>
      </w:pPr>
      <w:r w:rsidRPr="0027727E">
        <w:tab/>
      </w:r>
      <w:r w:rsidRPr="0027727E">
        <w:tab/>
      </w:r>
      <w:r>
        <w:t>Context</w:t>
      </w:r>
    </w:p>
    <w:p w14:paraId="10088D0B" w14:textId="6765072B" w:rsidR="00CF1577" w:rsidRPr="005F2CC7" w:rsidRDefault="00CF1577" w:rsidP="00CF1577">
      <w:pPr>
        <w:pStyle w:val="SingleTxtG"/>
      </w:pPr>
      <w:r w:rsidRPr="00D159EE">
        <w:t>8.</w:t>
      </w:r>
      <w:r w:rsidRPr="00D159EE">
        <w:tab/>
        <w:t xml:space="preserve">The Committee </w:t>
      </w:r>
      <w:r w:rsidR="005E2D72" w:rsidRPr="00D159EE">
        <w:t xml:space="preserve">recognizes </w:t>
      </w:r>
      <w:r w:rsidR="005E2D72">
        <w:t>the efforts made by</w:t>
      </w:r>
      <w:r w:rsidR="005E2D72" w:rsidRPr="00D159EE">
        <w:t xml:space="preserve"> the State party to protect and promote </w:t>
      </w:r>
      <w:r w:rsidR="005E2D72">
        <w:t>women’s human</w:t>
      </w:r>
      <w:r w:rsidR="005E2D72" w:rsidRPr="00D159EE">
        <w:t xml:space="preserve"> rights and gender equality</w:t>
      </w:r>
      <w:r w:rsidR="005E2D72">
        <w:t xml:space="preserve">. It notes with concern, however, </w:t>
      </w:r>
      <w:r w:rsidR="005E2D72" w:rsidRPr="00D159EE">
        <w:t xml:space="preserve">that the State party continues to face difficulties </w:t>
      </w:r>
      <w:r w:rsidR="005E2D72">
        <w:t>in</w:t>
      </w:r>
      <w:r w:rsidR="005E2D72" w:rsidRPr="00D159EE">
        <w:t xml:space="preserve"> the</w:t>
      </w:r>
      <w:r w:rsidR="005E2D72">
        <w:t xml:space="preserve"> implementation of</w:t>
      </w:r>
      <w:r w:rsidR="005E2D72" w:rsidRPr="00D159EE">
        <w:t xml:space="preserve"> the </w:t>
      </w:r>
      <w:r w:rsidR="005E2D72">
        <w:t>Convention</w:t>
      </w:r>
      <w:r w:rsidR="005E2D72" w:rsidRPr="00D159EE">
        <w:t>.</w:t>
      </w:r>
      <w:r w:rsidR="005E2D72">
        <w:t xml:space="preserve"> The Committee </w:t>
      </w:r>
      <w:r>
        <w:t>notes</w:t>
      </w:r>
      <w:r w:rsidR="00B74C6E">
        <w:t xml:space="preserve"> with concern</w:t>
      </w:r>
      <w:r>
        <w:t xml:space="preserve"> the socio-economic impact of </w:t>
      </w:r>
      <w:r w:rsidR="009E24B7" w:rsidRPr="00D159EE">
        <w:t>the</w:t>
      </w:r>
      <w:r w:rsidR="009E24B7">
        <w:t xml:space="preserve"> sanctions</w:t>
      </w:r>
      <w:r w:rsidR="007966DD">
        <w:t xml:space="preserve"> </w:t>
      </w:r>
      <w:r w:rsidRPr="00D159EE">
        <w:t xml:space="preserve">imposed </w:t>
      </w:r>
      <w:r>
        <w:t xml:space="preserve">on the State party </w:t>
      </w:r>
      <w:r w:rsidRPr="00D159EE">
        <w:t xml:space="preserve">by </w:t>
      </w:r>
      <w:r>
        <w:t>several</w:t>
      </w:r>
      <w:r w:rsidRPr="00D159EE">
        <w:t xml:space="preserve"> </w:t>
      </w:r>
      <w:r>
        <w:t xml:space="preserve">third </w:t>
      </w:r>
      <w:r w:rsidRPr="00D159EE">
        <w:t xml:space="preserve">States, </w:t>
      </w:r>
      <w:r w:rsidR="00F36332">
        <w:t xml:space="preserve">which exacerbates the </w:t>
      </w:r>
      <w:r w:rsidR="00F36332" w:rsidRPr="00254621">
        <w:t>deterioration of the economy</w:t>
      </w:r>
      <w:r w:rsidR="00F36332">
        <w:t xml:space="preserve"> </w:t>
      </w:r>
      <w:r w:rsidR="00E57D1C">
        <w:t xml:space="preserve">and </w:t>
      </w:r>
      <w:r w:rsidRPr="00D82BFA">
        <w:t xml:space="preserve">the complex humanitarian situation </w:t>
      </w:r>
      <w:r w:rsidR="00174DD5">
        <w:t xml:space="preserve">lived </w:t>
      </w:r>
      <w:r w:rsidRPr="00D82BFA">
        <w:t>in the country since 2015</w:t>
      </w:r>
      <w:r w:rsidR="00042D9B" w:rsidRPr="00D82BFA">
        <w:t>,</w:t>
      </w:r>
      <w:r w:rsidR="00254621">
        <w:t xml:space="preserve"> </w:t>
      </w:r>
      <w:r w:rsidR="00254621" w:rsidRPr="00254621">
        <w:t xml:space="preserve">affecting all spheres of social life, and having </w:t>
      </w:r>
      <w:r w:rsidR="00D96360">
        <w:t xml:space="preserve">a differentiated </w:t>
      </w:r>
      <w:r w:rsidR="00254621" w:rsidRPr="00254621">
        <w:t xml:space="preserve">impact </w:t>
      </w:r>
      <w:r w:rsidR="00C97FDE">
        <w:t xml:space="preserve">on </w:t>
      </w:r>
      <w:r w:rsidR="00254621" w:rsidRPr="00254621">
        <w:t>women</w:t>
      </w:r>
      <w:r w:rsidR="00C97FDE">
        <w:t xml:space="preserve"> and girls</w:t>
      </w:r>
      <w:r w:rsidR="00254621" w:rsidRPr="00254621">
        <w:t>.</w:t>
      </w:r>
    </w:p>
    <w:p w14:paraId="3317A58B" w14:textId="77777777" w:rsidR="00CF1577" w:rsidRPr="0027727E" w:rsidRDefault="00CF1577" w:rsidP="00CF1577">
      <w:pPr>
        <w:pStyle w:val="H23G"/>
      </w:pPr>
      <w:r w:rsidRPr="005F2CC7">
        <w:tab/>
      </w:r>
      <w:r w:rsidRPr="005F2CC7">
        <w:tab/>
      </w:r>
      <w:r w:rsidRPr="0027727E">
        <w:t xml:space="preserve">Visibility of the Convention, the Optional Protocol thereto and the Committee’s general recommendations </w:t>
      </w:r>
    </w:p>
    <w:p w14:paraId="2D368CB8" w14:textId="77777777" w:rsidR="00CF1577" w:rsidRPr="00A7764E" w:rsidRDefault="00CF1577" w:rsidP="00CF1577">
      <w:pPr>
        <w:pStyle w:val="SingleTxtG"/>
      </w:pPr>
      <w:r w:rsidRPr="00A7764E">
        <w:t>9.</w:t>
      </w:r>
      <w:r w:rsidRPr="00A7764E">
        <w:tab/>
        <w:t xml:space="preserve">The Committee notes the </w:t>
      </w:r>
      <w:r>
        <w:t>high number of</w:t>
      </w:r>
      <w:r w:rsidRPr="00621BB5">
        <w:t xml:space="preserve"> court decisions</w:t>
      </w:r>
      <w:r>
        <w:t>,</w:t>
      </w:r>
      <w:r w:rsidRPr="00621BB5">
        <w:t xml:space="preserve"> in which judges have referred to the Convention between 2020 and 2022.</w:t>
      </w:r>
      <w:r w:rsidRPr="00A7764E">
        <w:t xml:space="preserve"> It notes with concern, however, that the Convention</w:t>
      </w:r>
      <w:r>
        <w:t xml:space="preserve"> and</w:t>
      </w:r>
      <w:r w:rsidRPr="00A7764E">
        <w:t xml:space="preserve"> the Optional Protocol thereto are not fully incorporated into domestic law </w:t>
      </w:r>
      <w:r w:rsidRPr="00A7764E">
        <w:lastRenderedPageBreak/>
        <w:t xml:space="preserve">and that women, in particular women living in poverty, women with disabilities, migrant women and rural women, are often not aware of their rights under the Convention and the remedies available to claim them. </w:t>
      </w:r>
    </w:p>
    <w:p w14:paraId="20C1280E" w14:textId="77777777" w:rsidR="00CF1577" w:rsidRPr="00A7764E" w:rsidRDefault="00CF1577" w:rsidP="00CF1577">
      <w:pPr>
        <w:pStyle w:val="SingleTxtG"/>
        <w:rPr>
          <w:b/>
          <w:bCs/>
        </w:rPr>
      </w:pPr>
      <w:r w:rsidRPr="00A7764E">
        <w:t>10.</w:t>
      </w:r>
      <w:r w:rsidRPr="00A7764E">
        <w:tab/>
      </w:r>
      <w:r w:rsidRPr="00A7764E">
        <w:rPr>
          <w:b/>
          <w:bCs/>
        </w:rPr>
        <w:t xml:space="preserve">The Committee recommends that the State party widely disseminate the Convention, the Optional Protocol thereto and the Committee’s general recommendations and raise awareness among women, including </w:t>
      </w:r>
      <w:r w:rsidRPr="00A7764E">
        <w:rPr>
          <w:b/>
        </w:rPr>
        <w:t>women living in poverty, women with disabilities, migrant women and rural women</w:t>
      </w:r>
      <w:r w:rsidRPr="00A7764E">
        <w:rPr>
          <w:b/>
          <w:bCs/>
        </w:rPr>
        <w:t>, of their rights under the Convention and the legal remedies available to them to claim violations of those rights.</w:t>
      </w:r>
    </w:p>
    <w:p w14:paraId="2D2A5B92" w14:textId="77777777" w:rsidR="00CF1577" w:rsidRPr="00946454" w:rsidRDefault="00CF1577" w:rsidP="00CF1577">
      <w:pPr>
        <w:pStyle w:val="H23G"/>
      </w:pPr>
      <w:r w:rsidRPr="00946454">
        <w:tab/>
      </w:r>
      <w:r w:rsidRPr="00946454">
        <w:tab/>
        <w:t xml:space="preserve">Definition of equality and non-discrimination </w:t>
      </w:r>
    </w:p>
    <w:p w14:paraId="4D07ADE4" w14:textId="3D72B08C" w:rsidR="00CF1577" w:rsidRPr="004379F3" w:rsidRDefault="00CF1577" w:rsidP="004A1A06">
      <w:pPr>
        <w:pStyle w:val="SingleTxtG"/>
      </w:pPr>
      <w:r w:rsidRPr="00735136">
        <w:t>11.</w:t>
      </w:r>
      <w:r w:rsidRPr="00735136">
        <w:tab/>
        <w:t xml:space="preserve">The Committee notes the </w:t>
      </w:r>
      <w:r>
        <w:t>a</w:t>
      </w:r>
      <w:r w:rsidRPr="00551469">
        <w:t xml:space="preserve">mendment </w:t>
      </w:r>
      <w:r>
        <w:t>to</w:t>
      </w:r>
      <w:r w:rsidRPr="00551469">
        <w:t xml:space="preserve"> article 565 of the Organic Code on Military Justice, to de-criminalize consensual same-sex relationships in the armed forces</w:t>
      </w:r>
      <w:r>
        <w:t xml:space="preserve"> and that the draft Law Against all Forms of Discrimination was approved unanimously by the plenary of the National Assembly and it is now undergoing a national public consultation. It </w:t>
      </w:r>
      <w:r w:rsidRPr="00EA4E74">
        <w:t>notes with concern</w:t>
      </w:r>
      <w:r w:rsidR="00E543A0">
        <w:t xml:space="preserve"> </w:t>
      </w:r>
      <w:r w:rsidR="00E0403E">
        <w:t>there is</w:t>
      </w:r>
      <w:r w:rsidR="00AD46F8">
        <w:t xml:space="preserve"> </w:t>
      </w:r>
      <w:r w:rsidRPr="00EA4E74">
        <w:t xml:space="preserve">limited implementation of laws and policies in place to address intersecting forms of discrimination against women, in particular women </w:t>
      </w:r>
      <w:r>
        <w:t>living in</w:t>
      </w:r>
      <w:r w:rsidRPr="00EA4E74">
        <w:t xml:space="preserve"> poverty, </w:t>
      </w:r>
      <w:r>
        <w:t xml:space="preserve">LBTI women, </w:t>
      </w:r>
      <w:r w:rsidRPr="00EA4E74">
        <w:t>indigenous women, women of African descent, women with disabilities, migrant women and rural women.</w:t>
      </w:r>
    </w:p>
    <w:p w14:paraId="3AA6EEB7" w14:textId="78426B52" w:rsidR="00CF1577" w:rsidRDefault="00CF1577" w:rsidP="00CF1577">
      <w:pPr>
        <w:pStyle w:val="SingleTxtG"/>
        <w:rPr>
          <w:b/>
          <w:bCs/>
        </w:rPr>
      </w:pPr>
      <w:r w:rsidRPr="00735136">
        <w:t>12.</w:t>
      </w:r>
      <w:r w:rsidRPr="00735136">
        <w:tab/>
      </w:r>
      <w:r w:rsidRPr="00735136">
        <w:rPr>
          <w:b/>
          <w:bCs/>
        </w:rPr>
        <w:t xml:space="preserve">The Committee recommends </w:t>
      </w:r>
      <w:r>
        <w:rPr>
          <w:b/>
          <w:bCs/>
        </w:rPr>
        <w:t>that the State party adopt</w:t>
      </w:r>
      <w:r w:rsidR="00D81F2C">
        <w:rPr>
          <w:b/>
          <w:bCs/>
        </w:rPr>
        <w:t xml:space="preserve"> </w:t>
      </w:r>
      <w:r>
        <w:rPr>
          <w:b/>
          <w:bCs/>
        </w:rPr>
        <w:t xml:space="preserve">the </w:t>
      </w:r>
      <w:r w:rsidRPr="002E5B60">
        <w:rPr>
          <w:b/>
          <w:bCs/>
        </w:rPr>
        <w:t>Law Against all Forms of Discrimination without delay and</w:t>
      </w:r>
      <w:r>
        <w:t xml:space="preserve"> </w:t>
      </w:r>
      <w:r w:rsidRPr="00735136">
        <w:rPr>
          <w:b/>
          <w:bCs/>
        </w:rPr>
        <w:t xml:space="preserve">ensure the effective implementation of legislation that prohibits discrimination against women, covering direct and indirect discrimination in the public and private spheres, </w:t>
      </w:r>
      <w:r>
        <w:rPr>
          <w:b/>
          <w:bCs/>
        </w:rPr>
        <w:t>as well as</w:t>
      </w:r>
      <w:r w:rsidRPr="00735136">
        <w:rPr>
          <w:b/>
          <w:bCs/>
        </w:rPr>
        <w:t xml:space="preserve"> intersecting forms of discrimination, in line with articles 1 and 2 of the Convention, the Committee’s general recommendation No. 28 (2010) on the core obligations of State parties under article 2 of the Convention, and target 5.1 of the Sustainable Development Goals on ending all forms of discrimination against all women and girls everywhere</w:t>
      </w:r>
      <w:r>
        <w:rPr>
          <w:b/>
          <w:bCs/>
        </w:rPr>
        <w:t>.</w:t>
      </w:r>
      <w:r w:rsidR="00D81F2C">
        <w:rPr>
          <w:b/>
          <w:bCs/>
        </w:rPr>
        <w:t xml:space="preserve"> </w:t>
      </w:r>
    </w:p>
    <w:p w14:paraId="3120AD69" w14:textId="77777777" w:rsidR="00CF1577" w:rsidRPr="00946454" w:rsidRDefault="00CF1577" w:rsidP="00CF1577">
      <w:pPr>
        <w:pStyle w:val="H23G"/>
      </w:pPr>
      <w:r w:rsidRPr="00946454">
        <w:tab/>
      </w:r>
      <w:r w:rsidRPr="00946454">
        <w:tab/>
        <w:t xml:space="preserve">Women’s access to justice </w:t>
      </w:r>
    </w:p>
    <w:p w14:paraId="4DA96132" w14:textId="77777777" w:rsidR="00CF1577" w:rsidRPr="00981892" w:rsidRDefault="00CF1577" w:rsidP="00CF1577">
      <w:pPr>
        <w:pStyle w:val="SingleTxtG"/>
      </w:pPr>
      <w:r w:rsidRPr="00981892">
        <w:t>13.</w:t>
      </w:r>
      <w:r w:rsidRPr="00981892">
        <w:tab/>
        <w:t xml:space="preserve">The Committee notes that the Public Prosecutor’s Office has put in place 73 offices across the State party with competence to handle matters related to women’s rights, including </w:t>
      </w:r>
      <w:r>
        <w:t>one</w:t>
      </w:r>
      <w:r w:rsidRPr="00981892">
        <w:t xml:space="preserve"> office specialized in femicide. Nevertheless, the Committee notes with concern: </w:t>
      </w:r>
    </w:p>
    <w:p w14:paraId="7602A303" w14:textId="77777777" w:rsidR="00CF1577" w:rsidRPr="00B53E96" w:rsidRDefault="00CF1577" w:rsidP="00CF1577">
      <w:pPr>
        <w:pStyle w:val="SingleTxtG"/>
      </w:pPr>
      <w:r w:rsidRPr="00B53E96">
        <w:tab/>
        <w:t>(a)</w:t>
      </w:r>
      <w:r w:rsidRPr="00B53E96">
        <w:tab/>
        <w:t xml:space="preserve">The economic barriers to women’s access to justice and the limited availability of free legal aid; </w:t>
      </w:r>
    </w:p>
    <w:p w14:paraId="5E34A0DA" w14:textId="1C0E58E2" w:rsidR="00CF1577" w:rsidRPr="00B53E96" w:rsidRDefault="00CF1577" w:rsidP="00CF1577">
      <w:pPr>
        <w:pStyle w:val="SingleTxtG"/>
      </w:pPr>
      <w:r w:rsidRPr="00B53E96">
        <w:tab/>
        <w:t>(b)</w:t>
      </w:r>
      <w:r w:rsidRPr="00B53E96">
        <w:tab/>
        <w:t>Barriers to access to justice faced by indigenous women, Afro-descendant women</w:t>
      </w:r>
      <w:r w:rsidR="00AB6C80">
        <w:t>, low-income women</w:t>
      </w:r>
      <w:r w:rsidRPr="00B53E96">
        <w:t xml:space="preserve"> and women with disabilities, such as legal illiteracy and the lack of information on available remedies to complain about intersecting forms of discrimination;</w:t>
      </w:r>
    </w:p>
    <w:p w14:paraId="240BA14A" w14:textId="77777777" w:rsidR="00CF1577" w:rsidRDefault="00CF1577" w:rsidP="00CF1577">
      <w:pPr>
        <w:pStyle w:val="SingleTxtG"/>
      </w:pPr>
      <w:r w:rsidRPr="001934CE">
        <w:tab/>
        <w:t>(c)</w:t>
      </w:r>
      <w:r w:rsidRPr="001934CE">
        <w:tab/>
        <w:t>That migrant, asylum</w:t>
      </w:r>
      <w:r>
        <w:t>-</w:t>
      </w:r>
      <w:r w:rsidRPr="001934CE">
        <w:t>seeking and refugee women continue to face barriers to access to justice, often impacted by the</w:t>
      </w:r>
      <w:r>
        <w:t>ir</w:t>
      </w:r>
      <w:r w:rsidRPr="001934CE">
        <w:t xml:space="preserve"> lack of trust in the </w:t>
      </w:r>
      <w:r>
        <w:t>judiciary and law enforcement authorities and</w:t>
      </w:r>
      <w:r w:rsidRPr="001934CE">
        <w:t xml:space="preserve"> fear of retaliation from armed or criminal groups operating in their communities</w:t>
      </w:r>
      <w:r>
        <w:t>;</w:t>
      </w:r>
      <w:r w:rsidRPr="001934CE">
        <w:t xml:space="preserve"> </w:t>
      </w:r>
    </w:p>
    <w:p w14:paraId="6D376268" w14:textId="77777777" w:rsidR="00CF1577" w:rsidRPr="001934CE" w:rsidRDefault="00CF1577" w:rsidP="00CF1577">
      <w:pPr>
        <w:pStyle w:val="SingleTxtG"/>
      </w:pPr>
      <w:r w:rsidRPr="00E07C14">
        <w:tab/>
        <w:t>(d)</w:t>
      </w:r>
      <w:r w:rsidRPr="00E07C14">
        <w:tab/>
        <w:t xml:space="preserve">That the State party denounced the American Convention on Human Rights in 2012, thereby excluding the jurisdiction of the Inter-American Court of Human Rights. </w:t>
      </w:r>
    </w:p>
    <w:p w14:paraId="00C71769" w14:textId="77777777" w:rsidR="00CF1577" w:rsidRPr="00DC24D9" w:rsidRDefault="00CF1577" w:rsidP="00CF1577">
      <w:pPr>
        <w:pStyle w:val="SingleTxtG"/>
        <w:rPr>
          <w:b/>
          <w:bCs/>
        </w:rPr>
      </w:pPr>
      <w:r w:rsidRPr="00DC24D9">
        <w:t>14.</w:t>
      </w:r>
      <w:r w:rsidRPr="00DC24D9">
        <w:tab/>
      </w:r>
      <w:r w:rsidRPr="00DC24D9">
        <w:rPr>
          <w:b/>
          <w:bCs/>
        </w:rPr>
        <w:t xml:space="preserve">The Committee, in line with its general recommendation No. 33 (2015) on women’s access to justice, recommends that the State party: </w:t>
      </w:r>
    </w:p>
    <w:p w14:paraId="70D9D2B6" w14:textId="77777777" w:rsidR="00CF1577" w:rsidRPr="00D26138" w:rsidRDefault="00CF1577" w:rsidP="00CF1577">
      <w:pPr>
        <w:pStyle w:val="SingleTxtG"/>
        <w:rPr>
          <w:b/>
          <w:bCs/>
        </w:rPr>
      </w:pPr>
      <w:r w:rsidRPr="00D26138">
        <w:tab/>
        <w:t>(a)</w:t>
      </w:r>
      <w:r w:rsidRPr="00D26138">
        <w:tab/>
      </w:r>
      <w:r w:rsidRPr="00D26138">
        <w:rPr>
          <w:b/>
          <w:bCs/>
        </w:rPr>
        <w:t xml:space="preserve">Expand public legal aid services that are adequately funded to ensure </w:t>
      </w:r>
      <w:r>
        <w:rPr>
          <w:b/>
          <w:bCs/>
        </w:rPr>
        <w:t xml:space="preserve">free </w:t>
      </w:r>
      <w:r w:rsidRPr="00D26138">
        <w:rPr>
          <w:b/>
          <w:bCs/>
        </w:rPr>
        <w:t xml:space="preserve">legal </w:t>
      </w:r>
      <w:r>
        <w:rPr>
          <w:b/>
          <w:bCs/>
        </w:rPr>
        <w:t>aid</w:t>
      </w:r>
      <w:r w:rsidRPr="00D26138">
        <w:rPr>
          <w:b/>
          <w:bCs/>
        </w:rPr>
        <w:t xml:space="preserve"> to women without sufficient means in criminal, civil and administrative proceedings relating to gender-based violence and discrimination against women;  </w:t>
      </w:r>
    </w:p>
    <w:p w14:paraId="6F757977" w14:textId="06E7661A" w:rsidR="00CF1577" w:rsidRDefault="00CF1577" w:rsidP="00CF1577">
      <w:pPr>
        <w:pStyle w:val="SingleTxtG"/>
        <w:rPr>
          <w:b/>
          <w:bCs/>
        </w:rPr>
      </w:pPr>
      <w:r w:rsidRPr="009B1640">
        <w:tab/>
        <w:t>(b)</w:t>
      </w:r>
      <w:r w:rsidRPr="009B1640">
        <w:tab/>
      </w:r>
      <w:r w:rsidRPr="009B1640">
        <w:rPr>
          <w:b/>
          <w:bCs/>
        </w:rPr>
        <w:t>Strengthen access to justice for indigenous women, African-descendant women</w:t>
      </w:r>
      <w:r w:rsidR="00AB6C80">
        <w:rPr>
          <w:b/>
          <w:bCs/>
        </w:rPr>
        <w:t>, low-income women</w:t>
      </w:r>
      <w:r w:rsidRPr="009B1640">
        <w:rPr>
          <w:b/>
          <w:bCs/>
        </w:rPr>
        <w:t xml:space="preserve"> and women with disabilities, including </w:t>
      </w:r>
      <w:r>
        <w:rPr>
          <w:b/>
          <w:bCs/>
        </w:rPr>
        <w:t>by</w:t>
      </w:r>
      <w:r w:rsidRPr="009B1640">
        <w:rPr>
          <w:b/>
          <w:bCs/>
        </w:rPr>
        <w:t xml:space="preserve"> addressing linguistic barriers, accessible courts and disseminating information about the legal remedies available to claim their rights</w:t>
      </w:r>
      <w:r>
        <w:rPr>
          <w:b/>
          <w:bCs/>
        </w:rPr>
        <w:t>;</w:t>
      </w:r>
      <w:r w:rsidRPr="009B1640">
        <w:rPr>
          <w:b/>
          <w:bCs/>
        </w:rPr>
        <w:t xml:space="preserve"> </w:t>
      </w:r>
    </w:p>
    <w:p w14:paraId="08C1BE73" w14:textId="77777777" w:rsidR="00CF1577" w:rsidRPr="00C45ED2" w:rsidRDefault="00CF1577" w:rsidP="00CF1577">
      <w:pPr>
        <w:pStyle w:val="SingleTxtG"/>
        <w:rPr>
          <w:b/>
          <w:bCs/>
        </w:rPr>
      </w:pPr>
      <w:r w:rsidRPr="00C45ED2">
        <w:lastRenderedPageBreak/>
        <w:tab/>
        <w:t>(c)</w:t>
      </w:r>
      <w:r w:rsidRPr="00C45ED2">
        <w:tab/>
      </w:r>
      <w:r w:rsidRPr="00CB0467">
        <w:rPr>
          <w:b/>
          <w:bCs/>
        </w:rPr>
        <w:t>Expand measures to inform migrant, asylum-seeking and refugee women’s of the remedies available to them in case of violations of their rights including through</w:t>
      </w:r>
      <w:r w:rsidRPr="00730A9E">
        <w:rPr>
          <w:b/>
          <w:bCs/>
        </w:rPr>
        <w:t xml:space="preserve"> </w:t>
      </w:r>
      <w:r>
        <w:rPr>
          <w:b/>
          <w:bCs/>
        </w:rPr>
        <w:t xml:space="preserve">dedicated </w:t>
      </w:r>
      <w:r w:rsidRPr="00730A9E">
        <w:rPr>
          <w:b/>
          <w:bCs/>
        </w:rPr>
        <w:t>websites</w:t>
      </w:r>
      <w:r>
        <w:rPr>
          <w:b/>
          <w:bCs/>
        </w:rPr>
        <w:t>, social media</w:t>
      </w:r>
      <w:r w:rsidRPr="00730A9E">
        <w:rPr>
          <w:b/>
          <w:bCs/>
        </w:rPr>
        <w:t xml:space="preserve"> and </w:t>
      </w:r>
      <w:r>
        <w:rPr>
          <w:b/>
          <w:bCs/>
        </w:rPr>
        <w:t>in accessible language;</w:t>
      </w:r>
      <w:r w:rsidRPr="00C45ED2">
        <w:rPr>
          <w:b/>
          <w:bCs/>
        </w:rPr>
        <w:t xml:space="preserve"> </w:t>
      </w:r>
    </w:p>
    <w:p w14:paraId="6D4F10D3" w14:textId="036EC233" w:rsidR="00015F71" w:rsidRDefault="00CF1577" w:rsidP="00817805">
      <w:pPr>
        <w:pStyle w:val="SingleTxtG"/>
        <w:rPr>
          <w:b/>
          <w:bCs/>
        </w:rPr>
      </w:pPr>
      <w:r w:rsidRPr="002A6930">
        <w:rPr>
          <w:b/>
          <w:bCs/>
        </w:rPr>
        <w:tab/>
      </w:r>
      <w:r w:rsidRPr="002A6930">
        <w:t>(</w:t>
      </w:r>
      <w:r w:rsidR="00140BF1">
        <w:t>d</w:t>
      </w:r>
      <w:r w:rsidRPr="002A6930">
        <w:t>)</w:t>
      </w:r>
      <w:r w:rsidRPr="002A6930">
        <w:tab/>
      </w:r>
      <w:r w:rsidRPr="002A6930">
        <w:rPr>
          <w:b/>
          <w:bCs/>
        </w:rPr>
        <w:t xml:space="preserve">Reconsider its withdrawal from the American Convention on Human Rights, with a view to </w:t>
      </w:r>
      <w:r>
        <w:rPr>
          <w:b/>
          <w:bCs/>
        </w:rPr>
        <w:t xml:space="preserve">restoring </w:t>
      </w:r>
      <w:r w:rsidR="00AE1616">
        <w:rPr>
          <w:b/>
          <w:bCs/>
        </w:rPr>
        <w:t>its</w:t>
      </w:r>
      <w:r>
        <w:rPr>
          <w:b/>
          <w:bCs/>
        </w:rPr>
        <w:t xml:space="preserve"> jurisdiction</w:t>
      </w:r>
      <w:r w:rsidRPr="002A6930">
        <w:rPr>
          <w:b/>
          <w:bCs/>
        </w:rPr>
        <w:t>.</w:t>
      </w:r>
    </w:p>
    <w:p w14:paraId="4F270A62" w14:textId="7F5B928B" w:rsidR="00D53DCE" w:rsidRPr="004379F3" w:rsidRDefault="00B574C1" w:rsidP="00B574C1">
      <w:pPr>
        <w:pStyle w:val="H23G"/>
      </w:pPr>
      <w:r>
        <w:tab/>
      </w:r>
      <w:r>
        <w:tab/>
      </w:r>
      <w:r w:rsidR="00D53DCE" w:rsidRPr="004379F3">
        <w:t>Women, peace and security</w:t>
      </w:r>
    </w:p>
    <w:p w14:paraId="27C63063" w14:textId="71DD0C28" w:rsidR="00D53DCE" w:rsidRDefault="00055908" w:rsidP="00D53DCE">
      <w:pPr>
        <w:pStyle w:val="SingleTxtG"/>
      </w:pPr>
      <w:r>
        <w:rPr>
          <w:bCs/>
        </w:rPr>
        <w:t>15</w:t>
      </w:r>
      <w:r w:rsidR="00D53DCE">
        <w:rPr>
          <w:bCs/>
        </w:rPr>
        <w:t>.</w:t>
      </w:r>
      <w:r w:rsidR="00D53DCE">
        <w:rPr>
          <w:b/>
          <w:bCs/>
        </w:rPr>
        <w:tab/>
      </w:r>
      <w:r w:rsidR="00D53DCE" w:rsidRPr="00F022B1">
        <w:t>The Committee notes with concern the lack of</w:t>
      </w:r>
      <w:r w:rsidR="00D53DCE">
        <w:t xml:space="preserve"> a women peace and security national action plan.  </w:t>
      </w:r>
    </w:p>
    <w:p w14:paraId="4B1CE183" w14:textId="4828581C" w:rsidR="00240C0A" w:rsidRPr="002A6930" w:rsidRDefault="00055908" w:rsidP="00D53DCE">
      <w:pPr>
        <w:pStyle w:val="SingleTxtG"/>
        <w:rPr>
          <w:b/>
          <w:bCs/>
        </w:rPr>
      </w:pPr>
      <w:r>
        <w:t>16</w:t>
      </w:r>
      <w:r w:rsidR="00D53DCE">
        <w:t>.</w:t>
      </w:r>
      <w:r w:rsidR="00D53DCE">
        <w:tab/>
      </w:r>
      <w:r w:rsidR="00D53DCE">
        <w:rPr>
          <w:b/>
          <w:bCs/>
        </w:rPr>
        <w:t xml:space="preserve">The Committee recalls its general recommendation No.30 (2013) on women in conflict prevention, conflict and post-conflict situations, and recommends that the State party considers the adoption of a national action plan for the implementation of Security Council Resolution 1325 (2000) on women peace and security, in cooperation with representatives of women’s civil society organizations, and ensure that it takes into consideration </w:t>
      </w:r>
      <w:r w:rsidR="00D53DCE" w:rsidRPr="00EB47B5">
        <w:rPr>
          <w:b/>
          <w:bCs/>
        </w:rPr>
        <w:t>the full spectrum of the Security Council agenda</w:t>
      </w:r>
      <w:r w:rsidR="00D53DCE">
        <w:rPr>
          <w:b/>
          <w:bCs/>
        </w:rPr>
        <w:t xml:space="preserve"> on women peace and security, as reflected in the Security Council resolutions 1325 (2000) and subsequent resolutions, and incorporates a model of substantive equality that addresses gender-based violence against women and discrimination against women in all spheres of women’s lives, including intersecting forms of discrimination against women.</w:t>
      </w:r>
    </w:p>
    <w:p w14:paraId="10422265" w14:textId="77777777" w:rsidR="00CF1577" w:rsidRPr="00946454" w:rsidRDefault="00CF1577" w:rsidP="00CF1577">
      <w:pPr>
        <w:pStyle w:val="H23G"/>
      </w:pPr>
      <w:r w:rsidRPr="00946454">
        <w:tab/>
      </w:r>
      <w:r w:rsidRPr="00946454">
        <w:tab/>
        <w:t>National machinery for the advancement of women and gender mainstreaming</w:t>
      </w:r>
    </w:p>
    <w:p w14:paraId="542E3137" w14:textId="4EC9147F" w:rsidR="00CF1577" w:rsidRDefault="00CF1577" w:rsidP="00CF1577">
      <w:pPr>
        <w:pStyle w:val="SingleTxtG"/>
        <w:rPr>
          <w:highlight w:val="magenta"/>
        </w:rPr>
      </w:pPr>
      <w:r>
        <w:t>1</w:t>
      </w:r>
      <w:r w:rsidR="00055908">
        <w:t>7</w:t>
      </w:r>
      <w:r>
        <w:t>.</w:t>
      </w:r>
      <w:r>
        <w:tab/>
      </w:r>
      <w:r w:rsidRPr="00F14474">
        <w:t xml:space="preserve">The Committee notes </w:t>
      </w:r>
      <w:r w:rsidR="00842301">
        <w:t xml:space="preserve">with appreciation </w:t>
      </w:r>
      <w:r w:rsidRPr="00F14474">
        <w:t>the establishment</w:t>
      </w:r>
      <w:r>
        <w:t xml:space="preserve"> of </w:t>
      </w:r>
      <w:r w:rsidRPr="00DC02BB">
        <w:t>the State Council for Gender Equality and Equity</w:t>
      </w:r>
      <w:r>
        <w:t xml:space="preserve"> in 2015</w:t>
      </w:r>
      <w:r w:rsidRPr="00DC02BB">
        <w:t xml:space="preserve"> to ensure </w:t>
      </w:r>
      <w:r>
        <w:t xml:space="preserve">the integration of </w:t>
      </w:r>
      <w:r w:rsidRPr="00DC02BB">
        <w:t xml:space="preserve">a gender </w:t>
      </w:r>
      <w:r>
        <w:t>perspective</w:t>
      </w:r>
      <w:r w:rsidRPr="00DC02BB">
        <w:t xml:space="preserve"> in public policies</w:t>
      </w:r>
      <w:r>
        <w:t xml:space="preserve"> and</w:t>
      </w:r>
      <w:r w:rsidRPr="00DC02BB">
        <w:t xml:space="preserve"> promot</w:t>
      </w:r>
      <w:r>
        <w:t>e</w:t>
      </w:r>
      <w:r w:rsidRPr="00DC02BB">
        <w:t xml:space="preserve"> the creation of gender </w:t>
      </w:r>
      <w:r>
        <w:t>focal points</w:t>
      </w:r>
      <w:r w:rsidRPr="00DC02BB">
        <w:t xml:space="preserve"> in all </w:t>
      </w:r>
      <w:r>
        <w:t>government departments</w:t>
      </w:r>
      <w:r w:rsidRPr="00DC02BB">
        <w:t xml:space="preserve"> </w:t>
      </w:r>
      <w:r>
        <w:t>as well as</w:t>
      </w:r>
      <w:r w:rsidRPr="00DC02BB">
        <w:t xml:space="preserve"> the Network of Gender Liaisons of State Institutions</w:t>
      </w:r>
      <w:r>
        <w:t xml:space="preserve">. </w:t>
      </w:r>
      <w:r w:rsidRPr="00551C86">
        <w:t xml:space="preserve">It </w:t>
      </w:r>
      <w:r>
        <w:t>notes with</w:t>
      </w:r>
      <w:r w:rsidRPr="00551C86">
        <w:t xml:space="preserve"> concern, however: </w:t>
      </w:r>
    </w:p>
    <w:p w14:paraId="0B22F17C" w14:textId="77777777" w:rsidR="00CF1577" w:rsidRDefault="00CF1577" w:rsidP="00CF1577">
      <w:pPr>
        <w:pStyle w:val="SingleTxtG"/>
      </w:pPr>
      <w:r w:rsidRPr="00551C86">
        <w:tab/>
      </w:r>
      <w:r>
        <w:t>(</w:t>
      </w:r>
      <w:r w:rsidRPr="00551C86">
        <w:t>a)</w:t>
      </w:r>
      <w:r w:rsidRPr="00551C86">
        <w:tab/>
        <w:t>That the National</w:t>
      </w:r>
      <w:r w:rsidRPr="0070628C">
        <w:t xml:space="preserve"> Commission to Guarantee Women's Right to a Life Free </w:t>
      </w:r>
      <w:r>
        <w:t>from</w:t>
      </w:r>
      <w:r w:rsidRPr="0070628C">
        <w:t xml:space="preserve"> Violence</w:t>
      </w:r>
      <w:r>
        <w:t xml:space="preserve"> is not yet operational and its members have not been appointed;</w:t>
      </w:r>
    </w:p>
    <w:p w14:paraId="5696E81B" w14:textId="77777777" w:rsidR="00CF1577" w:rsidRDefault="00CF1577" w:rsidP="00CF1577">
      <w:pPr>
        <w:pStyle w:val="SingleTxtG"/>
      </w:pPr>
      <w:r w:rsidRPr="00A5187B">
        <w:tab/>
        <w:t>(</w:t>
      </w:r>
      <w:r>
        <w:t>b</w:t>
      </w:r>
      <w:r w:rsidRPr="00A5187B">
        <w:t>)</w:t>
      </w:r>
      <w:r w:rsidRPr="00A5187B">
        <w:tab/>
      </w:r>
      <w:r>
        <w:t>The</w:t>
      </w:r>
      <w:r w:rsidRPr="00A5187B">
        <w:t xml:space="preserve"> lack of collaboration of the national machinery for the advancement of women with women’s civil society organizations from different political backgrounds.</w:t>
      </w:r>
    </w:p>
    <w:p w14:paraId="76532747" w14:textId="13241C50" w:rsidR="00CF1577" w:rsidRPr="00694946" w:rsidRDefault="00CF1577" w:rsidP="00CF1577">
      <w:pPr>
        <w:pStyle w:val="SingleTxtG"/>
        <w:rPr>
          <w:b/>
          <w:bCs/>
        </w:rPr>
      </w:pPr>
      <w:r w:rsidRPr="00694946">
        <w:t>1</w:t>
      </w:r>
      <w:r w:rsidR="00055908">
        <w:t>8</w:t>
      </w:r>
      <w:r w:rsidRPr="00694946">
        <w:t>.</w:t>
      </w:r>
      <w:r w:rsidRPr="00694946">
        <w:tab/>
      </w:r>
      <w:r w:rsidRPr="00694946">
        <w:rPr>
          <w:b/>
          <w:bCs/>
        </w:rPr>
        <w:t xml:space="preserve">The Committee recommends that the State party: </w:t>
      </w:r>
      <w:r w:rsidRPr="00694946">
        <w:rPr>
          <w:b/>
        </w:rPr>
        <w:t xml:space="preserve"> </w:t>
      </w:r>
    </w:p>
    <w:p w14:paraId="6F16B5F7" w14:textId="77777777" w:rsidR="00CF1577" w:rsidRPr="00694946" w:rsidRDefault="00CF1577" w:rsidP="00CF1577">
      <w:pPr>
        <w:pStyle w:val="SingleTxtG"/>
        <w:rPr>
          <w:b/>
          <w:bCs/>
        </w:rPr>
      </w:pPr>
      <w:r w:rsidRPr="00694946">
        <w:tab/>
        <w:t>(a)</w:t>
      </w:r>
      <w:r w:rsidRPr="00694946">
        <w:tab/>
      </w:r>
      <w:r w:rsidRPr="00694946">
        <w:rPr>
          <w:b/>
          <w:bCs/>
        </w:rPr>
        <w:t>Ensure the effective functioning of the National Commission to Guarantee Women's Right to a Life Free of Violence and appoint its members</w:t>
      </w:r>
      <w:r>
        <w:rPr>
          <w:b/>
          <w:bCs/>
        </w:rPr>
        <w:t xml:space="preserve"> </w:t>
      </w:r>
      <w:r w:rsidRPr="00694946">
        <w:rPr>
          <w:b/>
          <w:bCs/>
        </w:rPr>
        <w:t>in a transparent</w:t>
      </w:r>
      <w:r>
        <w:rPr>
          <w:b/>
          <w:bCs/>
        </w:rPr>
        <w:t>,</w:t>
      </w:r>
      <w:r w:rsidRPr="00694946">
        <w:rPr>
          <w:b/>
          <w:bCs/>
        </w:rPr>
        <w:t xml:space="preserve"> </w:t>
      </w:r>
      <w:r>
        <w:rPr>
          <w:b/>
          <w:bCs/>
        </w:rPr>
        <w:t>i</w:t>
      </w:r>
      <w:r w:rsidRPr="00694946">
        <w:rPr>
          <w:b/>
          <w:bCs/>
        </w:rPr>
        <w:t xml:space="preserve">nclusive and representative </w:t>
      </w:r>
      <w:r>
        <w:rPr>
          <w:b/>
          <w:bCs/>
        </w:rPr>
        <w:t>manner</w:t>
      </w:r>
      <w:r w:rsidRPr="00694946">
        <w:rPr>
          <w:b/>
          <w:bCs/>
        </w:rPr>
        <w:t xml:space="preserve">, including </w:t>
      </w:r>
      <w:r>
        <w:rPr>
          <w:b/>
          <w:bCs/>
        </w:rPr>
        <w:t>by reserving five</w:t>
      </w:r>
      <w:r w:rsidRPr="00694946">
        <w:rPr>
          <w:b/>
          <w:bCs/>
        </w:rPr>
        <w:t xml:space="preserve"> seats </w:t>
      </w:r>
      <w:r>
        <w:rPr>
          <w:b/>
          <w:bCs/>
        </w:rPr>
        <w:t>for</w:t>
      </w:r>
      <w:r w:rsidRPr="00694946">
        <w:rPr>
          <w:b/>
          <w:bCs/>
        </w:rPr>
        <w:t xml:space="preserve"> </w:t>
      </w:r>
      <w:r>
        <w:rPr>
          <w:b/>
          <w:bCs/>
        </w:rPr>
        <w:t xml:space="preserve">civil society </w:t>
      </w:r>
      <w:r w:rsidRPr="00694946">
        <w:rPr>
          <w:b/>
          <w:bCs/>
        </w:rPr>
        <w:t>representatives</w:t>
      </w:r>
      <w:r>
        <w:rPr>
          <w:b/>
          <w:bCs/>
        </w:rPr>
        <w:t>;</w:t>
      </w:r>
      <w:r w:rsidRPr="00694946">
        <w:rPr>
          <w:b/>
          <w:bCs/>
        </w:rPr>
        <w:t xml:space="preserve"> </w:t>
      </w:r>
    </w:p>
    <w:p w14:paraId="554FC994" w14:textId="77777777" w:rsidR="00CF1577" w:rsidRPr="001B130B" w:rsidRDefault="00CF1577" w:rsidP="00CF1577">
      <w:pPr>
        <w:pStyle w:val="SingleTxtG"/>
      </w:pPr>
      <w:r w:rsidRPr="009A3D34">
        <w:tab/>
        <w:t>(</w:t>
      </w:r>
      <w:r>
        <w:t>b</w:t>
      </w:r>
      <w:r w:rsidRPr="009A3D34">
        <w:t>)</w:t>
      </w:r>
      <w:r w:rsidRPr="009A3D34">
        <w:tab/>
      </w:r>
      <w:r w:rsidRPr="009A3D34">
        <w:rPr>
          <w:b/>
        </w:rPr>
        <w:t xml:space="preserve">Ensure </w:t>
      </w:r>
      <w:r>
        <w:rPr>
          <w:b/>
        </w:rPr>
        <w:t>meaningful cooperation of</w:t>
      </w:r>
      <w:r w:rsidRPr="009A3D34">
        <w:rPr>
          <w:b/>
        </w:rPr>
        <w:t xml:space="preserve"> the national machinery </w:t>
      </w:r>
      <w:r>
        <w:rPr>
          <w:b/>
        </w:rPr>
        <w:t>with</w:t>
      </w:r>
      <w:r w:rsidRPr="009A3D34">
        <w:rPr>
          <w:b/>
        </w:rPr>
        <w:t xml:space="preserve"> women’s civil society organizations</w:t>
      </w:r>
      <w:r>
        <w:rPr>
          <w:b/>
        </w:rPr>
        <w:t xml:space="preserve"> from different political backgrounds</w:t>
      </w:r>
      <w:r w:rsidRPr="009A3D34">
        <w:rPr>
          <w:b/>
        </w:rPr>
        <w:t xml:space="preserve">, including those representing indigenous women, Afro-descendant women and women with disabilities, in the adoption and implementation of </w:t>
      </w:r>
      <w:r>
        <w:rPr>
          <w:b/>
        </w:rPr>
        <w:t xml:space="preserve">legislation, </w:t>
      </w:r>
      <w:r w:rsidRPr="009A3D34">
        <w:rPr>
          <w:b/>
        </w:rPr>
        <w:t>policies and programmes for the advancement of women and integrate a human rights-based approach and an intersectional gender perspective in those policies.</w:t>
      </w:r>
      <w:r w:rsidRPr="009A3D34">
        <w:t xml:space="preserve"> </w:t>
      </w:r>
    </w:p>
    <w:p w14:paraId="70F50E8D" w14:textId="77777777" w:rsidR="00CF1577" w:rsidRPr="00946454" w:rsidRDefault="00CF1577" w:rsidP="00CF1577">
      <w:pPr>
        <w:pStyle w:val="H23G"/>
      </w:pPr>
      <w:r w:rsidRPr="00946454">
        <w:tab/>
      </w:r>
      <w:r w:rsidRPr="00946454">
        <w:tab/>
        <w:t xml:space="preserve">National human rights institution </w:t>
      </w:r>
    </w:p>
    <w:p w14:paraId="043C249F" w14:textId="6B5EEA2C" w:rsidR="00CF1577" w:rsidRPr="006E0BED" w:rsidRDefault="00CF1577" w:rsidP="00CF1577">
      <w:pPr>
        <w:pStyle w:val="SingleTxtG"/>
      </w:pPr>
      <w:r w:rsidRPr="00002669">
        <w:t>1</w:t>
      </w:r>
      <w:r w:rsidR="00055908">
        <w:t>9</w:t>
      </w:r>
      <w:r w:rsidRPr="00002669">
        <w:t>.</w:t>
      </w:r>
      <w:r w:rsidRPr="00002669">
        <w:tab/>
        <w:t>The Committee notes with concern</w:t>
      </w:r>
      <w:r>
        <w:t xml:space="preserve"> that</w:t>
      </w:r>
      <w:r w:rsidRPr="00002669">
        <w:t>:</w:t>
      </w:r>
    </w:p>
    <w:p w14:paraId="1255A2BC" w14:textId="01E43F7C" w:rsidR="00CF1577" w:rsidRDefault="00CF1577" w:rsidP="00CF1577">
      <w:pPr>
        <w:pStyle w:val="SingleTxtG"/>
      </w:pPr>
      <w:r>
        <w:tab/>
        <w:t>(a)</w:t>
      </w:r>
      <w:r>
        <w:tab/>
        <w:t>T</w:t>
      </w:r>
      <w:r w:rsidRPr="00E25A5E">
        <w:t xml:space="preserve">he Special Office </w:t>
      </w:r>
      <w:r>
        <w:t xml:space="preserve">of the Ombudsperson </w:t>
      </w:r>
      <w:r w:rsidR="002E10F5">
        <w:t xml:space="preserve">with National Competence </w:t>
      </w:r>
      <w:r w:rsidRPr="00E25A5E">
        <w:t xml:space="preserve">for the Protection of Migrants, Refugees and Human Trafficking Victims, </w:t>
      </w:r>
      <w:r>
        <w:t xml:space="preserve">lacks the </w:t>
      </w:r>
      <w:r w:rsidRPr="00E25A5E">
        <w:t>human</w:t>
      </w:r>
      <w:r>
        <w:t>, technical</w:t>
      </w:r>
      <w:r w:rsidRPr="00E25A5E">
        <w:t xml:space="preserve"> and financial resources </w:t>
      </w:r>
      <w:r>
        <w:t xml:space="preserve">necessary </w:t>
      </w:r>
      <w:r w:rsidRPr="00E25A5E">
        <w:t xml:space="preserve">for the implementation of its </w:t>
      </w:r>
      <w:r>
        <w:t xml:space="preserve">mandate, especially the </w:t>
      </w:r>
      <w:r w:rsidRPr="00E25A5E">
        <w:t>collect</w:t>
      </w:r>
      <w:r>
        <w:t>ion of</w:t>
      </w:r>
      <w:r w:rsidRPr="00E25A5E">
        <w:t xml:space="preserve"> data </w:t>
      </w:r>
      <w:r>
        <w:t>on</w:t>
      </w:r>
      <w:r w:rsidRPr="00E25A5E">
        <w:t xml:space="preserve"> trafficking</w:t>
      </w:r>
      <w:r>
        <w:t xml:space="preserve"> in persons</w:t>
      </w:r>
      <w:r w:rsidRPr="00E25A5E">
        <w:t xml:space="preserve"> </w:t>
      </w:r>
      <w:r>
        <w:t>concerning</w:t>
      </w:r>
      <w:r w:rsidRPr="00E25A5E">
        <w:t xml:space="preserve"> </w:t>
      </w:r>
      <w:r>
        <w:t xml:space="preserve">migrant and </w:t>
      </w:r>
      <w:r w:rsidRPr="00E25A5E">
        <w:t xml:space="preserve">refugee women </w:t>
      </w:r>
      <w:r>
        <w:t xml:space="preserve">at the </w:t>
      </w:r>
      <w:r w:rsidRPr="00E25A5E">
        <w:t>border</w:t>
      </w:r>
      <w:r>
        <w:t xml:space="preserve"> and in</w:t>
      </w:r>
      <w:r w:rsidRPr="00E25A5E">
        <w:t xml:space="preserve"> rural and mining areas</w:t>
      </w:r>
      <w:r>
        <w:t>;</w:t>
      </w:r>
    </w:p>
    <w:p w14:paraId="7A50B7E5" w14:textId="662E7471" w:rsidR="00CF1577" w:rsidRPr="00A365EA" w:rsidRDefault="00CF1577" w:rsidP="00CF1577">
      <w:pPr>
        <w:pStyle w:val="SingleTxtG"/>
      </w:pPr>
      <w:r>
        <w:tab/>
        <w:t>(b)</w:t>
      </w:r>
      <w:r>
        <w:tab/>
        <w:t>The Ombuds</w:t>
      </w:r>
      <w:r w:rsidR="00AA3F58">
        <w:t>person</w:t>
      </w:r>
      <w:r>
        <w:t>'s Office lost its accreditation with A-status by the Global Alliance of National Human Rights Institutions in 2016</w:t>
      </w:r>
      <w:r w:rsidR="00140BF1">
        <w:t>.</w:t>
      </w:r>
    </w:p>
    <w:p w14:paraId="05ABD5D7" w14:textId="334A9445" w:rsidR="00CF1577" w:rsidRPr="00014259" w:rsidRDefault="00055908" w:rsidP="00CF1577">
      <w:pPr>
        <w:pStyle w:val="SingleTxtG"/>
        <w:rPr>
          <w:b/>
        </w:rPr>
      </w:pPr>
      <w:r>
        <w:rPr>
          <w:bCs/>
        </w:rPr>
        <w:t>20</w:t>
      </w:r>
      <w:r w:rsidR="00CF1577" w:rsidRPr="0098740E">
        <w:rPr>
          <w:bCs/>
        </w:rPr>
        <w:t>.</w:t>
      </w:r>
      <w:r w:rsidR="00CF1577" w:rsidRPr="00014259">
        <w:rPr>
          <w:b/>
        </w:rPr>
        <w:tab/>
        <w:t xml:space="preserve">The Committee </w:t>
      </w:r>
      <w:r w:rsidR="00CF1577">
        <w:rPr>
          <w:b/>
        </w:rPr>
        <w:t>recommends that</w:t>
      </w:r>
      <w:r w:rsidR="00CF1577" w:rsidRPr="00014259">
        <w:rPr>
          <w:b/>
        </w:rPr>
        <w:t xml:space="preserve"> the State party allocate adequate human, technical and financial resources to the Special Office of the Ombudsperson for the Protection of Migrants, Refugees and Human Trafficking Victims so that it can </w:t>
      </w:r>
      <w:r w:rsidR="00CF1577" w:rsidRPr="00014259">
        <w:rPr>
          <w:b/>
        </w:rPr>
        <w:lastRenderedPageBreak/>
        <w:t xml:space="preserve">effectively and independently discharge its mandate to protect migrant and refugee women from the risks of human trafficking. It further recommends </w:t>
      </w:r>
      <w:r w:rsidR="00CF1577">
        <w:rPr>
          <w:b/>
        </w:rPr>
        <w:t xml:space="preserve">that </w:t>
      </w:r>
      <w:r w:rsidR="00CF1577" w:rsidRPr="00014259">
        <w:rPr>
          <w:b/>
        </w:rPr>
        <w:t xml:space="preserve">the </w:t>
      </w:r>
      <w:r w:rsidR="00CF1577">
        <w:rPr>
          <w:b/>
        </w:rPr>
        <w:t xml:space="preserve">State party </w:t>
      </w:r>
      <w:r w:rsidR="00CF1577" w:rsidRPr="00014259">
        <w:rPr>
          <w:b/>
        </w:rPr>
        <w:t xml:space="preserve">strengthen the </w:t>
      </w:r>
      <w:r w:rsidR="00CF1577">
        <w:rPr>
          <w:b/>
        </w:rPr>
        <w:t xml:space="preserve">independence of the </w:t>
      </w:r>
      <w:r w:rsidR="00CF1577" w:rsidRPr="00014259">
        <w:rPr>
          <w:b/>
        </w:rPr>
        <w:t>Ombuds</w:t>
      </w:r>
      <w:r w:rsidR="00AA3F58">
        <w:rPr>
          <w:b/>
        </w:rPr>
        <w:t>person</w:t>
      </w:r>
      <w:r w:rsidR="00CF1577" w:rsidRPr="00014259">
        <w:rPr>
          <w:b/>
        </w:rPr>
        <w:t>'s Office</w:t>
      </w:r>
      <w:r w:rsidR="00CF1577">
        <w:rPr>
          <w:b/>
        </w:rPr>
        <w:t>,</w:t>
      </w:r>
      <w:r w:rsidR="00CF1577" w:rsidRPr="00014259">
        <w:rPr>
          <w:b/>
        </w:rPr>
        <w:t xml:space="preserve"> in </w:t>
      </w:r>
      <w:r w:rsidR="00CF1577">
        <w:rPr>
          <w:b/>
        </w:rPr>
        <w:t>line</w:t>
      </w:r>
      <w:r w:rsidR="00CF1577" w:rsidRPr="00014259">
        <w:rPr>
          <w:b/>
        </w:rPr>
        <w:t xml:space="preserve"> with the principles relating to the status of national institutions for the promotion and protection of human rights (Paris Principles; General Assembly resolution 48/134 of 20 December 1993), and that it continue its efforts to implement the recommendations of the Subcommittee on Accreditation of the Global Alliance of Human Rights Institutions (GANHRI)</w:t>
      </w:r>
      <w:r w:rsidR="00CF1577">
        <w:rPr>
          <w:b/>
        </w:rPr>
        <w:t>,</w:t>
      </w:r>
      <w:r w:rsidR="00CF1577" w:rsidRPr="00014259">
        <w:rPr>
          <w:b/>
        </w:rPr>
        <w:t xml:space="preserve"> </w:t>
      </w:r>
      <w:r w:rsidR="00CF1577">
        <w:rPr>
          <w:b/>
        </w:rPr>
        <w:t xml:space="preserve">with a view </w:t>
      </w:r>
      <w:r w:rsidR="00CF1577" w:rsidRPr="00014259">
        <w:rPr>
          <w:b/>
        </w:rPr>
        <w:t xml:space="preserve">to </w:t>
      </w:r>
      <w:r w:rsidR="00CF1577">
        <w:rPr>
          <w:b/>
        </w:rPr>
        <w:t>obtaining</w:t>
      </w:r>
      <w:r w:rsidR="00CF1577" w:rsidRPr="00014259">
        <w:rPr>
          <w:b/>
        </w:rPr>
        <w:t xml:space="preserve"> its former </w:t>
      </w:r>
      <w:r w:rsidR="00CF1577">
        <w:rPr>
          <w:b/>
        </w:rPr>
        <w:t>A-</w:t>
      </w:r>
      <w:r w:rsidR="00CF1577" w:rsidRPr="00014259">
        <w:rPr>
          <w:b/>
        </w:rPr>
        <w:t xml:space="preserve">status </w:t>
      </w:r>
      <w:r w:rsidR="00CF1577">
        <w:rPr>
          <w:b/>
        </w:rPr>
        <w:t>again</w:t>
      </w:r>
      <w:r w:rsidR="00CF1577" w:rsidRPr="00014259">
        <w:rPr>
          <w:b/>
        </w:rPr>
        <w:t xml:space="preserve">. </w:t>
      </w:r>
    </w:p>
    <w:p w14:paraId="2C374025" w14:textId="77777777" w:rsidR="00CF1577" w:rsidRDefault="00CF1577" w:rsidP="00CF1577">
      <w:pPr>
        <w:pStyle w:val="H23G"/>
      </w:pPr>
      <w:r w:rsidRPr="00946454">
        <w:tab/>
      </w:r>
      <w:r w:rsidRPr="00946454">
        <w:tab/>
        <w:t>Temporary special measures</w:t>
      </w:r>
    </w:p>
    <w:p w14:paraId="1A22E88A" w14:textId="21525F33" w:rsidR="00EE1BC2" w:rsidRPr="00C572F8" w:rsidRDefault="00055908" w:rsidP="006A322D">
      <w:pPr>
        <w:pStyle w:val="SingleTxtG"/>
      </w:pPr>
      <w:r>
        <w:t>21</w:t>
      </w:r>
      <w:r w:rsidR="00CF1577" w:rsidRPr="00C572F8">
        <w:t>.</w:t>
      </w:r>
      <w:r w:rsidR="00CF1577" w:rsidRPr="00C572F8">
        <w:tab/>
        <w:t xml:space="preserve">The Committee </w:t>
      </w:r>
      <w:r w:rsidR="00CF1577">
        <w:t>notes with</w:t>
      </w:r>
      <w:r w:rsidR="00CF1577" w:rsidRPr="00C572F8">
        <w:t xml:space="preserve"> concern the lack of information on the use of temporary special measures </w:t>
      </w:r>
      <w:r w:rsidR="00CF1577">
        <w:t xml:space="preserve">by the State party </w:t>
      </w:r>
      <w:r w:rsidR="00CF1577" w:rsidRPr="00C572F8">
        <w:t xml:space="preserve">to achieve substantive equality of </w:t>
      </w:r>
      <w:r w:rsidR="00CF1577">
        <w:t xml:space="preserve">women and men in all areas where women are underrepresented or </w:t>
      </w:r>
      <w:r w:rsidR="00CF1577" w:rsidRPr="00C572F8">
        <w:t xml:space="preserve">disadvantaged, </w:t>
      </w:r>
      <w:r w:rsidR="00CF1577">
        <w:t>in particular</w:t>
      </w:r>
      <w:r w:rsidR="00CF1577" w:rsidRPr="00C572F8">
        <w:t xml:space="preserve"> indigenous women, migrant, refugee and asylum-seeking women, </w:t>
      </w:r>
      <w:r w:rsidR="00CF1577">
        <w:t xml:space="preserve">LBTI women </w:t>
      </w:r>
      <w:r w:rsidR="00CF1577" w:rsidRPr="00C572F8">
        <w:t xml:space="preserve">and women with disabilities. </w:t>
      </w:r>
    </w:p>
    <w:p w14:paraId="6B4C0502" w14:textId="701AFE84" w:rsidR="00CF1577" w:rsidRPr="00B74E3D" w:rsidRDefault="00CF1577" w:rsidP="00CF1577">
      <w:pPr>
        <w:pStyle w:val="SingleTxtG"/>
        <w:rPr>
          <w:b/>
          <w:bCs/>
        </w:rPr>
      </w:pPr>
      <w:r w:rsidRPr="00B74E3D">
        <w:t>2</w:t>
      </w:r>
      <w:r w:rsidR="00055908">
        <w:t>2</w:t>
      </w:r>
      <w:r w:rsidRPr="00B74E3D">
        <w:t>.</w:t>
      </w:r>
      <w:r w:rsidRPr="00B74E3D">
        <w:tab/>
      </w:r>
      <w:r w:rsidRPr="00B74E3D">
        <w:rPr>
          <w:b/>
          <w:bCs/>
        </w:rPr>
        <w:t>The Committee recalls its previous concluding observations (CEDAW/C/VEN/CO/7-8, para. 15) and recommends that the State party</w:t>
      </w:r>
      <w:r>
        <w:rPr>
          <w:b/>
          <w:bCs/>
        </w:rPr>
        <w:t xml:space="preserve"> a</w:t>
      </w:r>
      <w:r w:rsidRPr="00B74E3D">
        <w:rPr>
          <w:b/>
          <w:bCs/>
        </w:rPr>
        <w:t>dopt temporary special measures</w:t>
      </w:r>
      <w:r>
        <w:rPr>
          <w:b/>
          <w:bCs/>
        </w:rPr>
        <w:t>,</w:t>
      </w:r>
      <w:r w:rsidRPr="00B74E3D">
        <w:rPr>
          <w:b/>
          <w:bCs/>
        </w:rPr>
        <w:t xml:space="preserve"> in line with article 4 (1) of the Convention and the Committee’s general recommendation No. 25 (2004) on temporary special measures, to accelerate the achievement of substantive equality of women and men in all areas covered by the Convention where women are underrepresented or disadvantaged, including in political, public and economic life, education, employment, health care</w:t>
      </w:r>
      <w:r w:rsidR="00F01675">
        <w:rPr>
          <w:b/>
          <w:bCs/>
        </w:rPr>
        <w:t xml:space="preserve"> and </w:t>
      </w:r>
      <w:r w:rsidRPr="00B74E3D">
        <w:rPr>
          <w:b/>
          <w:bCs/>
        </w:rPr>
        <w:t>social security,</w:t>
      </w:r>
      <w:r w:rsidR="00F01675">
        <w:rPr>
          <w:b/>
          <w:bCs/>
        </w:rPr>
        <w:t xml:space="preserve"> </w:t>
      </w:r>
      <w:r>
        <w:rPr>
          <w:b/>
          <w:bCs/>
        </w:rPr>
        <w:t>with special attention to</w:t>
      </w:r>
      <w:r w:rsidRPr="00B74E3D">
        <w:rPr>
          <w:b/>
          <w:bCs/>
        </w:rPr>
        <w:t xml:space="preserve"> indigenous, Afro-descendant, migrant, refugee and asylum-seeking women, </w:t>
      </w:r>
      <w:r>
        <w:rPr>
          <w:b/>
          <w:bCs/>
        </w:rPr>
        <w:t xml:space="preserve">LBTI women </w:t>
      </w:r>
      <w:r w:rsidRPr="00B74E3D">
        <w:rPr>
          <w:b/>
          <w:bCs/>
        </w:rPr>
        <w:t xml:space="preserve">and women with disabilities. </w:t>
      </w:r>
    </w:p>
    <w:p w14:paraId="5E6920D9" w14:textId="00D1F544" w:rsidR="00CF1577" w:rsidRPr="00560A62" w:rsidRDefault="00CF1577" w:rsidP="00CF1577">
      <w:pPr>
        <w:pStyle w:val="H23G"/>
      </w:pPr>
      <w:r w:rsidRPr="00560A62">
        <w:tab/>
      </w:r>
      <w:r w:rsidRPr="00560A62">
        <w:tab/>
      </w:r>
      <w:r w:rsidR="00A30ADE">
        <w:t>Gender s</w:t>
      </w:r>
      <w:r w:rsidRPr="00560A62">
        <w:t xml:space="preserve">tereotypes </w:t>
      </w:r>
    </w:p>
    <w:p w14:paraId="021E203E" w14:textId="29D0EF57" w:rsidR="00CF1577" w:rsidRPr="00BD172C" w:rsidRDefault="00CF1577" w:rsidP="00CF1577">
      <w:pPr>
        <w:pStyle w:val="SingleTxtG"/>
      </w:pPr>
      <w:r w:rsidRPr="00BD172C">
        <w:t>2</w:t>
      </w:r>
      <w:r w:rsidR="00055908">
        <w:t>3</w:t>
      </w:r>
      <w:r w:rsidRPr="00BD172C">
        <w:t>.</w:t>
      </w:r>
      <w:r w:rsidRPr="00BD172C">
        <w:tab/>
        <w:t xml:space="preserve">The Committee acknowledges the measures adopted by the State party to eliminate gender stereotypes, such as monitoring activities of the National Commission on Telecommunications, </w:t>
      </w:r>
      <w:r>
        <w:t>judgments</w:t>
      </w:r>
      <w:r w:rsidRPr="00BD172C">
        <w:t xml:space="preserve"> N</w:t>
      </w:r>
      <w:r>
        <w:t>os.</w:t>
      </w:r>
      <w:r w:rsidRPr="00BD172C">
        <w:t xml:space="preserve"> 359 </w:t>
      </w:r>
      <w:r>
        <w:t>and</w:t>
      </w:r>
      <w:r w:rsidRPr="00BD172C">
        <w:t xml:space="preserve"> 884 </w:t>
      </w:r>
      <w:r>
        <w:t>of</w:t>
      </w:r>
      <w:r w:rsidRPr="00BD172C">
        <w:t xml:space="preserve"> the Supreme </w:t>
      </w:r>
      <w:r w:rsidR="00D13807">
        <w:t>Tribunal for Justice</w:t>
      </w:r>
      <w:r w:rsidRPr="006946E2">
        <w:t>, ruling</w:t>
      </w:r>
      <w:r w:rsidRPr="00C1041A">
        <w:t>s</w:t>
      </w:r>
      <w:r w:rsidRPr="006946E2">
        <w:t xml:space="preserve"> that</w:t>
      </w:r>
      <w:r w:rsidRPr="00C1041A">
        <w:t xml:space="preserve"> </w:t>
      </w:r>
      <w:r w:rsidRPr="006946E2">
        <w:t>forbid to publish images that contain explicit or implicit sexual content promot</w:t>
      </w:r>
      <w:r>
        <w:t>ing</w:t>
      </w:r>
      <w:r w:rsidRPr="006946E2">
        <w:t xml:space="preserve"> prostitution or the consumption of pornography</w:t>
      </w:r>
      <w:r>
        <w:t xml:space="preserve"> </w:t>
      </w:r>
      <w:r w:rsidRPr="006946E2">
        <w:t xml:space="preserve">that refer to electronic addresses that can be freely </w:t>
      </w:r>
      <w:r>
        <w:t xml:space="preserve">accessed </w:t>
      </w:r>
      <w:r w:rsidRPr="006946E2">
        <w:t>by children and adolescents</w:t>
      </w:r>
      <w:r>
        <w:t>,</w:t>
      </w:r>
      <w:r w:rsidRPr="00BD172C">
        <w:t xml:space="preserve"> an</w:t>
      </w:r>
      <w:r>
        <w:t>d</w:t>
      </w:r>
      <w:r w:rsidRPr="00BD172C">
        <w:t xml:space="preserve"> </w:t>
      </w:r>
      <w:r>
        <w:t xml:space="preserve">the adoption in 2021 of </w:t>
      </w:r>
      <w:r w:rsidRPr="00BD172C">
        <w:t xml:space="preserve">the Law for the Promotion and Use of Gender-Sensitive Language. However, the Committee </w:t>
      </w:r>
      <w:r>
        <w:t>notes with</w:t>
      </w:r>
      <w:r w:rsidRPr="00BD172C">
        <w:t xml:space="preserve"> concern the persistence of discriminatory gender stereotypes about the roles and responsibilities of women and men in the family and in society in the State party.</w:t>
      </w:r>
    </w:p>
    <w:p w14:paraId="58C7A438" w14:textId="47B94DD5" w:rsidR="00CF1577" w:rsidRPr="0005053E" w:rsidRDefault="00CF1577" w:rsidP="00CF1577">
      <w:pPr>
        <w:pStyle w:val="SingleTxtG"/>
        <w:rPr>
          <w:b/>
          <w:bCs/>
        </w:rPr>
      </w:pPr>
      <w:r w:rsidRPr="0005053E">
        <w:t>2</w:t>
      </w:r>
      <w:r w:rsidR="00055908">
        <w:t>4</w:t>
      </w:r>
      <w:r w:rsidRPr="0005053E">
        <w:t>.</w:t>
      </w:r>
      <w:r w:rsidRPr="0005053E">
        <w:tab/>
      </w:r>
      <w:r w:rsidRPr="0005053E">
        <w:rPr>
          <w:b/>
          <w:bCs/>
        </w:rPr>
        <w:t xml:space="preserve">The Committee recommends that the State party: </w:t>
      </w:r>
    </w:p>
    <w:p w14:paraId="7DF3CCF0" w14:textId="77777777" w:rsidR="00CF1577" w:rsidRPr="0005053E" w:rsidRDefault="00CF1577" w:rsidP="00CF1577">
      <w:pPr>
        <w:pStyle w:val="SingleTxtG"/>
        <w:rPr>
          <w:b/>
          <w:bCs/>
        </w:rPr>
      </w:pPr>
      <w:r w:rsidRPr="0005053E">
        <w:tab/>
        <w:t>(a)</w:t>
      </w:r>
      <w:r w:rsidRPr="0005053E">
        <w:tab/>
      </w:r>
      <w:r w:rsidRPr="0005053E">
        <w:rPr>
          <w:b/>
          <w:bCs/>
        </w:rPr>
        <w:t xml:space="preserve">Strengthen its measures, including </w:t>
      </w:r>
      <w:r w:rsidRPr="0005053E">
        <w:rPr>
          <w:b/>
        </w:rPr>
        <w:t xml:space="preserve">awareness raising and education campaigns throughout the State party, </w:t>
      </w:r>
      <w:r w:rsidRPr="0005053E">
        <w:rPr>
          <w:b/>
          <w:bCs/>
        </w:rPr>
        <w:t xml:space="preserve">targeting political, </w:t>
      </w:r>
      <w:r>
        <w:rPr>
          <w:b/>
          <w:bCs/>
        </w:rPr>
        <w:t xml:space="preserve">religious and </w:t>
      </w:r>
      <w:r w:rsidRPr="0005053E">
        <w:rPr>
          <w:b/>
          <w:bCs/>
        </w:rPr>
        <w:t xml:space="preserve">indigenous leaders, teachers, girls and boys, and women and men, to eliminate discriminatory stereotypes regarding the roles and responsibilities of women and men in the family and in society, and </w:t>
      </w:r>
      <w:r w:rsidRPr="0005053E">
        <w:rPr>
          <w:b/>
        </w:rPr>
        <w:t>promote equal sharing of family responsibilities between women and men</w:t>
      </w:r>
      <w:r w:rsidRPr="0005053E">
        <w:rPr>
          <w:b/>
          <w:bCs/>
        </w:rPr>
        <w:t>;</w:t>
      </w:r>
    </w:p>
    <w:p w14:paraId="0D0A06CE" w14:textId="727433D3" w:rsidR="00CF1577" w:rsidRPr="0005053E" w:rsidRDefault="00CF1577" w:rsidP="00CF1577">
      <w:pPr>
        <w:pStyle w:val="SingleTxtG"/>
        <w:rPr>
          <w:b/>
          <w:bCs/>
        </w:rPr>
      </w:pPr>
      <w:r w:rsidRPr="0005053E">
        <w:rPr>
          <w:b/>
          <w:bCs/>
        </w:rPr>
        <w:tab/>
      </w:r>
      <w:r w:rsidRPr="0005053E">
        <w:rPr>
          <w:bCs/>
        </w:rPr>
        <w:t>(b)</w:t>
      </w:r>
      <w:r w:rsidRPr="0005053E">
        <w:rPr>
          <w:b/>
          <w:bCs/>
        </w:rPr>
        <w:tab/>
        <w:t>Ensure that all intervention</w:t>
      </w:r>
      <w:r>
        <w:rPr>
          <w:b/>
          <w:bCs/>
        </w:rPr>
        <w:t>s</w:t>
      </w:r>
      <w:r w:rsidRPr="0005053E">
        <w:rPr>
          <w:b/>
          <w:bCs/>
        </w:rPr>
        <w:t xml:space="preserve"> to </w:t>
      </w:r>
      <w:r>
        <w:rPr>
          <w:b/>
          <w:bCs/>
        </w:rPr>
        <w:t>address</w:t>
      </w:r>
      <w:r w:rsidRPr="0005053E">
        <w:rPr>
          <w:b/>
          <w:bCs/>
        </w:rPr>
        <w:t xml:space="preserve"> </w:t>
      </w:r>
      <w:r>
        <w:rPr>
          <w:b/>
          <w:bCs/>
        </w:rPr>
        <w:t xml:space="preserve">gender </w:t>
      </w:r>
      <w:r w:rsidRPr="0005053E">
        <w:rPr>
          <w:b/>
          <w:bCs/>
        </w:rPr>
        <w:t xml:space="preserve">stereotypes are </w:t>
      </w:r>
      <w:r>
        <w:rPr>
          <w:b/>
          <w:bCs/>
        </w:rPr>
        <w:t>implemented</w:t>
      </w:r>
      <w:r w:rsidRPr="0005053E">
        <w:rPr>
          <w:b/>
          <w:bCs/>
        </w:rPr>
        <w:t xml:space="preserve"> through an intersectional lens, </w:t>
      </w:r>
      <w:r>
        <w:rPr>
          <w:b/>
          <w:bCs/>
        </w:rPr>
        <w:t>with a particular focus</w:t>
      </w:r>
      <w:r w:rsidRPr="0005053E">
        <w:rPr>
          <w:b/>
          <w:bCs/>
        </w:rPr>
        <w:t xml:space="preserve"> </w:t>
      </w:r>
      <w:r>
        <w:rPr>
          <w:b/>
          <w:bCs/>
        </w:rPr>
        <w:t xml:space="preserve">on </w:t>
      </w:r>
      <w:r w:rsidRPr="0005053E">
        <w:rPr>
          <w:b/>
          <w:bCs/>
        </w:rPr>
        <w:t>Afro-descendant, indigenous, migrant, LBTI</w:t>
      </w:r>
      <w:r w:rsidR="006B23C8">
        <w:rPr>
          <w:b/>
          <w:bCs/>
        </w:rPr>
        <w:t xml:space="preserve">, </w:t>
      </w:r>
      <w:r w:rsidRPr="0005053E">
        <w:rPr>
          <w:b/>
          <w:bCs/>
        </w:rPr>
        <w:t>older women and women with disabilities;</w:t>
      </w:r>
    </w:p>
    <w:p w14:paraId="54B3CACD" w14:textId="77777777" w:rsidR="00CF1577" w:rsidRPr="0005053E" w:rsidRDefault="00CF1577" w:rsidP="00CF1577">
      <w:pPr>
        <w:pStyle w:val="SingleTxtG"/>
        <w:rPr>
          <w:b/>
          <w:bCs/>
        </w:rPr>
      </w:pPr>
      <w:r w:rsidRPr="0005053E">
        <w:rPr>
          <w:b/>
          <w:bCs/>
        </w:rPr>
        <w:tab/>
      </w:r>
      <w:r w:rsidRPr="0005053E">
        <w:rPr>
          <w:bCs/>
        </w:rPr>
        <w:t>(c)</w:t>
      </w:r>
      <w:r w:rsidRPr="0005053E">
        <w:rPr>
          <w:b/>
          <w:bCs/>
        </w:rPr>
        <w:tab/>
      </w:r>
      <w:r>
        <w:rPr>
          <w:b/>
          <w:bCs/>
        </w:rPr>
        <w:t>Assess</w:t>
      </w:r>
      <w:r w:rsidRPr="0005053E">
        <w:rPr>
          <w:b/>
          <w:bCs/>
        </w:rPr>
        <w:t xml:space="preserve"> the effectiveness of the </w:t>
      </w:r>
      <w:r>
        <w:rPr>
          <w:b/>
          <w:bCs/>
        </w:rPr>
        <w:t>measures taken to eliminate discriminatory stereotypes and provide information on their impact in its next periodic report</w:t>
      </w:r>
      <w:r w:rsidRPr="0005053E">
        <w:rPr>
          <w:b/>
          <w:bCs/>
        </w:rPr>
        <w:t xml:space="preserve">. </w:t>
      </w:r>
    </w:p>
    <w:p w14:paraId="1077FCA2" w14:textId="77777777" w:rsidR="00CF1577" w:rsidRPr="00560A62" w:rsidRDefault="00CF1577" w:rsidP="00CF1577">
      <w:pPr>
        <w:pStyle w:val="H23G"/>
      </w:pPr>
      <w:r w:rsidRPr="00560A62">
        <w:tab/>
      </w:r>
      <w:r w:rsidRPr="00560A62">
        <w:tab/>
        <w:t>Gender-based violence against women</w:t>
      </w:r>
    </w:p>
    <w:p w14:paraId="66238461" w14:textId="6D082625" w:rsidR="00CF1577" w:rsidRPr="0025328C" w:rsidRDefault="00CF1577" w:rsidP="00CF1577">
      <w:pPr>
        <w:pStyle w:val="SingleTxtG"/>
        <w:rPr>
          <w:bCs/>
        </w:rPr>
      </w:pPr>
      <w:r w:rsidRPr="00A36355">
        <w:t>2</w:t>
      </w:r>
      <w:r w:rsidR="00055908">
        <w:t>5</w:t>
      </w:r>
      <w:r w:rsidRPr="00A36355">
        <w:t>.</w:t>
      </w:r>
      <w:r w:rsidRPr="00A36355">
        <w:tab/>
      </w:r>
      <w:r w:rsidRPr="0025328C">
        <w:rPr>
          <w:bCs/>
        </w:rPr>
        <w:t xml:space="preserve">The Committee </w:t>
      </w:r>
      <w:r>
        <w:rPr>
          <w:bCs/>
        </w:rPr>
        <w:t>welcomes</w:t>
      </w:r>
      <w:r w:rsidRPr="0025328C">
        <w:rPr>
          <w:bCs/>
        </w:rPr>
        <w:t xml:space="preserve"> the </w:t>
      </w:r>
      <w:r w:rsidRPr="00A36355">
        <w:rPr>
          <w:bCs/>
        </w:rPr>
        <w:t xml:space="preserve">second partial </w:t>
      </w:r>
      <w:r>
        <w:rPr>
          <w:bCs/>
        </w:rPr>
        <w:t>amendment to</w:t>
      </w:r>
      <w:r w:rsidRPr="0025328C">
        <w:rPr>
          <w:bCs/>
        </w:rPr>
        <w:t xml:space="preserve"> the </w:t>
      </w:r>
      <w:r w:rsidR="006C2E30">
        <w:rPr>
          <w:bCs/>
        </w:rPr>
        <w:t xml:space="preserve">Organic </w:t>
      </w:r>
      <w:r>
        <w:rPr>
          <w:bCs/>
        </w:rPr>
        <w:t xml:space="preserve">Law </w:t>
      </w:r>
      <w:r w:rsidRPr="0025328C">
        <w:rPr>
          <w:bCs/>
        </w:rPr>
        <w:t>on Women’s Right to a Life Free from Violence</w:t>
      </w:r>
      <w:r>
        <w:rPr>
          <w:bCs/>
        </w:rPr>
        <w:t xml:space="preserve"> (</w:t>
      </w:r>
      <w:r w:rsidRPr="00CA4E75">
        <w:t>LODMVLV</w:t>
      </w:r>
      <w:r>
        <w:t>)</w:t>
      </w:r>
      <w:r w:rsidRPr="0025328C">
        <w:rPr>
          <w:bCs/>
        </w:rPr>
        <w:t xml:space="preserve">. It is deeply concerned, however, </w:t>
      </w:r>
      <w:r>
        <w:rPr>
          <w:bCs/>
        </w:rPr>
        <w:t>about the high incidence of gender-based</w:t>
      </w:r>
      <w:r w:rsidRPr="0025328C">
        <w:rPr>
          <w:bCs/>
        </w:rPr>
        <w:t xml:space="preserve"> violence against women and girls </w:t>
      </w:r>
      <w:r>
        <w:rPr>
          <w:bCs/>
        </w:rPr>
        <w:t>in the State party</w:t>
      </w:r>
      <w:r w:rsidRPr="0025328C">
        <w:rPr>
          <w:bCs/>
        </w:rPr>
        <w:t>. I</w:t>
      </w:r>
      <w:r>
        <w:rPr>
          <w:bCs/>
        </w:rPr>
        <w:t>n</w:t>
      </w:r>
      <w:r w:rsidRPr="0025328C">
        <w:rPr>
          <w:bCs/>
        </w:rPr>
        <w:t xml:space="preserve"> particular</w:t>
      </w:r>
      <w:r>
        <w:rPr>
          <w:bCs/>
        </w:rPr>
        <w:t>,</w:t>
      </w:r>
      <w:r w:rsidRPr="0025328C">
        <w:rPr>
          <w:bCs/>
        </w:rPr>
        <w:t xml:space="preserve"> </w:t>
      </w:r>
      <w:r>
        <w:rPr>
          <w:bCs/>
        </w:rPr>
        <w:t xml:space="preserve">it notes with </w:t>
      </w:r>
      <w:r w:rsidRPr="0025328C">
        <w:rPr>
          <w:bCs/>
        </w:rPr>
        <w:t xml:space="preserve">concern: </w:t>
      </w:r>
    </w:p>
    <w:p w14:paraId="7B9A598C" w14:textId="1F35EF4A" w:rsidR="00CF1577" w:rsidRPr="00111724" w:rsidRDefault="00CF1577" w:rsidP="00CF1577">
      <w:pPr>
        <w:pStyle w:val="SingleTxtG"/>
      </w:pPr>
      <w:r>
        <w:tab/>
      </w:r>
      <w:r w:rsidRPr="00640B87">
        <w:t>(</w:t>
      </w:r>
      <w:r>
        <w:t>a</w:t>
      </w:r>
      <w:r w:rsidRPr="00640B87">
        <w:t>)</w:t>
      </w:r>
      <w:r w:rsidRPr="00640B87">
        <w:tab/>
        <w:t xml:space="preserve">The </w:t>
      </w:r>
      <w:r>
        <w:t>persistence</w:t>
      </w:r>
      <w:r w:rsidRPr="00640B87">
        <w:t xml:space="preserve"> of femicides, disappearances and psychological and sexual violence</w:t>
      </w:r>
      <w:r>
        <w:t xml:space="preserve"> against women and girls and the lack of a gender-sensitive protocol for the </w:t>
      </w:r>
      <w:r>
        <w:lastRenderedPageBreak/>
        <w:t>investigation of gender-based killings (femicides), hate crimes and other forms of gender-based violence against LBTI women</w:t>
      </w:r>
      <w:r w:rsidRPr="00640B87">
        <w:t xml:space="preserve">; </w:t>
      </w:r>
    </w:p>
    <w:p w14:paraId="6B6A47AB" w14:textId="49D6B052" w:rsidR="00CF1577" w:rsidRPr="00D34294" w:rsidRDefault="00CF1577" w:rsidP="00CF1577">
      <w:pPr>
        <w:pStyle w:val="SingleTxtG"/>
        <w:rPr>
          <w:bCs/>
          <w:lang w:val="en-US"/>
        </w:rPr>
      </w:pPr>
      <w:r>
        <w:rPr>
          <w:bCs/>
        </w:rPr>
        <w:tab/>
      </w:r>
      <w:r w:rsidRPr="00FB39C6">
        <w:rPr>
          <w:bCs/>
        </w:rPr>
        <w:t>(</w:t>
      </w:r>
      <w:r>
        <w:rPr>
          <w:bCs/>
        </w:rPr>
        <w:t>b</w:t>
      </w:r>
      <w:r w:rsidRPr="00FB39C6">
        <w:rPr>
          <w:bCs/>
        </w:rPr>
        <w:t>)</w:t>
      </w:r>
      <w:r>
        <w:rPr>
          <w:bCs/>
        </w:rPr>
        <w:tab/>
      </w:r>
      <w:r w:rsidRPr="00FB39C6">
        <w:rPr>
          <w:bCs/>
        </w:rPr>
        <w:t>The lack of regulation</w:t>
      </w:r>
      <w:r>
        <w:rPr>
          <w:bCs/>
        </w:rPr>
        <w:t>s</w:t>
      </w:r>
      <w:r w:rsidRPr="00FB39C6">
        <w:rPr>
          <w:bCs/>
        </w:rPr>
        <w:t xml:space="preserve"> </w:t>
      </w:r>
      <w:r>
        <w:rPr>
          <w:bCs/>
        </w:rPr>
        <w:t xml:space="preserve">and gender-sensitive protocols for the implementation of </w:t>
      </w:r>
      <w:r w:rsidRPr="00FB39C6">
        <w:rPr>
          <w:bCs/>
        </w:rPr>
        <w:t xml:space="preserve">the </w:t>
      </w:r>
      <w:r w:rsidR="006C2E30">
        <w:rPr>
          <w:bCs/>
        </w:rPr>
        <w:t>Organic</w:t>
      </w:r>
      <w:r w:rsidR="00FB386C">
        <w:rPr>
          <w:bCs/>
        </w:rPr>
        <w:t xml:space="preserve"> </w:t>
      </w:r>
      <w:r>
        <w:rPr>
          <w:bCs/>
        </w:rPr>
        <w:t xml:space="preserve">Law </w:t>
      </w:r>
      <w:r w:rsidRPr="00FB39C6">
        <w:rPr>
          <w:bCs/>
        </w:rPr>
        <w:t xml:space="preserve">on Women’s Right to a Life Free from Violence </w:t>
      </w:r>
      <w:r>
        <w:t>and the absence</w:t>
      </w:r>
      <w:r w:rsidRPr="00FB39C6">
        <w:t xml:space="preserve"> </w:t>
      </w:r>
      <w:r>
        <w:t>of specific legislation</w:t>
      </w:r>
      <w:r w:rsidRPr="00D34294">
        <w:t xml:space="preserve"> on </w:t>
      </w:r>
      <w:r>
        <w:t>g</w:t>
      </w:r>
      <w:r w:rsidRPr="00D34294">
        <w:t xml:space="preserve">ender </w:t>
      </w:r>
      <w:r>
        <w:t>e</w:t>
      </w:r>
      <w:r w:rsidRPr="00D34294">
        <w:t>quality that complies with international standards</w:t>
      </w:r>
      <w:r>
        <w:t>;</w:t>
      </w:r>
    </w:p>
    <w:p w14:paraId="674C560B" w14:textId="42C4133A" w:rsidR="00CF1577" w:rsidRPr="009C5CFE" w:rsidRDefault="00CF1577" w:rsidP="00CF1577">
      <w:pPr>
        <w:pStyle w:val="SingleTxtG"/>
        <w:rPr>
          <w:bCs/>
        </w:rPr>
      </w:pPr>
      <w:r>
        <w:rPr>
          <w:bCs/>
        </w:rPr>
        <w:tab/>
      </w:r>
      <w:r w:rsidRPr="0025328C">
        <w:rPr>
          <w:bCs/>
        </w:rPr>
        <w:t>(</w:t>
      </w:r>
      <w:r>
        <w:rPr>
          <w:bCs/>
        </w:rPr>
        <w:t>c</w:t>
      </w:r>
      <w:r w:rsidRPr="0025328C">
        <w:rPr>
          <w:bCs/>
        </w:rPr>
        <w:t>)</w:t>
      </w:r>
      <w:r w:rsidRPr="003B67FC">
        <w:rPr>
          <w:bCs/>
        </w:rPr>
        <w:tab/>
      </w:r>
      <w:r w:rsidRPr="0025328C">
        <w:rPr>
          <w:bCs/>
        </w:rPr>
        <w:t xml:space="preserve">The </w:t>
      </w:r>
      <w:r>
        <w:rPr>
          <w:bCs/>
        </w:rPr>
        <w:t>low</w:t>
      </w:r>
      <w:r w:rsidRPr="0025328C">
        <w:rPr>
          <w:bCs/>
        </w:rPr>
        <w:t xml:space="preserve"> number</w:t>
      </w:r>
      <w:r w:rsidRPr="003B67FC">
        <w:rPr>
          <w:bCs/>
        </w:rPr>
        <w:t xml:space="preserve"> </w:t>
      </w:r>
      <w:r>
        <w:rPr>
          <w:bCs/>
        </w:rPr>
        <w:t xml:space="preserve">(5) </w:t>
      </w:r>
      <w:r w:rsidRPr="0025328C">
        <w:rPr>
          <w:bCs/>
        </w:rPr>
        <w:t>of shelters for victims</w:t>
      </w:r>
      <w:r>
        <w:rPr>
          <w:bCs/>
        </w:rPr>
        <w:t xml:space="preserve"> of gender-based violence against women</w:t>
      </w:r>
      <w:r w:rsidRPr="0025328C">
        <w:rPr>
          <w:bCs/>
        </w:rPr>
        <w:t xml:space="preserve">, </w:t>
      </w:r>
      <w:r>
        <w:rPr>
          <w:bCs/>
        </w:rPr>
        <w:t>despite the requirement of</w:t>
      </w:r>
      <w:r w:rsidRPr="0025328C">
        <w:rPr>
          <w:bCs/>
        </w:rPr>
        <w:t xml:space="preserve"> </w:t>
      </w:r>
      <w:r>
        <w:rPr>
          <w:bCs/>
        </w:rPr>
        <w:t xml:space="preserve">at least </w:t>
      </w:r>
      <w:r w:rsidRPr="0025328C">
        <w:rPr>
          <w:bCs/>
        </w:rPr>
        <w:t xml:space="preserve">one </w:t>
      </w:r>
      <w:r>
        <w:rPr>
          <w:bCs/>
        </w:rPr>
        <w:t>shelter per</w:t>
      </w:r>
      <w:r w:rsidRPr="0025328C">
        <w:rPr>
          <w:bCs/>
        </w:rPr>
        <w:t xml:space="preserve"> </w:t>
      </w:r>
      <w:r>
        <w:rPr>
          <w:bCs/>
        </w:rPr>
        <w:t xml:space="preserve">department in the </w:t>
      </w:r>
      <w:r w:rsidR="00FB386C">
        <w:rPr>
          <w:bCs/>
        </w:rPr>
        <w:t xml:space="preserve">Organic </w:t>
      </w:r>
      <w:r>
        <w:rPr>
          <w:bCs/>
        </w:rPr>
        <w:t xml:space="preserve">Law </w:t>
      </w:r>
      <w:r w:rsidRPr="00FB39C6">
        <w:rPr>
          <w:bCs/>
        </w:rPr>
        <w:t>on Women’s Right to a Life Free from Violence</w:t>
      </w:r>
      <w:r>
        <w:rPr>
          <w:bCs/>
        </w:rPr>
        <w:t>;</w:t>
      </w:r>
      <w:r w:rsidRPr="0025328C">
        <w:rPr>
          <w:bCs/>
        </w:rPr>
        <w:t xml:space="preserve"> </w:t>
      </w:r>
    </w:p>
    <w:p w14:paraId="768DC5A0" w14:textId="77777777" w:rsidR="00CF1577" w:rsidRPr="00640B87" w:rsidRDefault="00CF1577" w:rsidP="00CF1577">
      <w:pPr>
        <w:pStyle w:val="SingleTxtG"/>
      </w:pPr>
      <w:r>
        <w:tab/>
        <w:t>(d)</w:t>
      </w:r>
      <w:r>
        <w:tab/>
        <w:t xml:space="preserve">The lack of statistical data on cases of gender-based violence against women and girls. </w:t>
      </w:r>
    </w:p>
    <w:p w14:paraId="37E37EF7" w14:textId="32CD466B" w:rsidR="00CF1577" w:rsidRDefault="00CF1577" w:rsidP="00CF1577">
      <w:pPr>
        <w:pStyle w:val="SingleTxtG"/>
        <w:rPr>
          <w:b/>
          <w:bCs/>
        </w:rPr>
      </w:pPr>
      <w:r w:rsidRPr="002C33EB">
        <w:t>2</w:t>
      </w:r>
      <w:r w:rsidR="00055908">
        <w:t>6</w:t>
      </w:r>
      <w:r w:rsidRPr="002C33EB">
        <w:t>.</w:t>
      </w:r>
      <w:r w:rsidRPr="002C33EB">
        <w:tab/>
      </w:r>
      <w:r w:rsidRPr="002C33EB">
        <w:rPr>
          <w:b/>
          <w:bCs/>
        </w:rPr>
        <w:t xml:space="preserve">Recalling </w:t>
      </w:r>
      <w:r>
        <w:rPr>
          <w:b/>
          <w:bCs/>
        </w:rPr>
        <w:t>its previous concluding observations (</w:t>
      </w:r>
      <w:r w:rsidRPr="00024A09">
        <w:rPr>
          <w:b/>
          <w:bCs/>
        </w:rPr>
        <w:t xml:space="preserve">CEDAW/C/VEN/CO/7-8 </w:t>
      </w:r>
      <w:r>
        <w:rPr>
          <w:b/>
          <w:bCs/>
        </w:rPr>
        <w:t xml:space="preserve">para. 19), </w:t>
      </w:r>
      <w:r w:rsidRPr="002C33EB">
        <w:rPr>
          <w:b/>
          <w:bCs/>
        </w:rPr>
        <w:t xml:space="preserve">its general recommendation No. 35 (2017) on gender-based violence against women, updating general recommendation No. 19, joint general recommendation No. 31 of CEDAW/general comment No. 18 of CRC (2019) on harmful practices, and target 5.2 of the Sustainable Developments Goals, to eliminate all forms of violence against women and girls in the public and private spheres, the Committee </w:t>
      </w:r>
      <w:r>
        <w:rPr>
          <w:b/>
          <w:bCs/>
        </w:rPr>
        <w:t>urges</w:t>
      </w:r>
      <w:r w:rsidRPr="002C33EB">
        <w:rPr>
          <w:b/>
          <w:bCs/>
        </w:rPr>
        <w:t xml:space="preserve"> the State party</w:t>
      </w:r>
      <w:r>
        <w:rPr>
          <w:b/>
          <w:bCs/>
        </w:rPr>
        <w:t xml:space="preserve"> to</w:t>
      </w:r>
      <w:r w:rsidRPr="002C33EB">
        <w:rPr>
          <w:b/>
          <w:bCs/>
        </w:rPr>
        <w:t>:</w:t>
      </w:r>
    </w:p>
    <w:p w14:paraId="2D8A9CAD" w14:textId="77777777" w:rsidR="00CF1577" w:rsidRPr="00C65D13" w:rsidRDefault="00CF1577" w:rsidP="00CF1577">
      <w:pPr>
        <w:pStyle w:val="SingleTxtG"/>
        <w:rPr>
          <w:b/>
          <w:bCs/>
        </w:rPr>
      </w:pPr>
      <w:r w:rsidRPr="00C65D13">
        <w:rPr>
          <w:bCs/>
        </w:rPr>
        <w:tab/>
        <w:t>(a)</w:t>
      </w:r>
      <w:r w:rsidRPr="00C65D13">
        <w:rPr>
          <w:b/>
          <w:bCs/>
        </w:rPr>
        <w:tab/>
        <w:t>Strengthen measures to prevent</w:t>
      </w:r>
      <w:r>
        <w:rPr>
          <w:b/>
          <w:bCs/>
        </w:rPr>
        <w:t>, prosecute and punish cases of</w:t>
      </w:r>
      <w:r w:rsidRPr="00C65D13">
        <w:rPr>
          <w:b/>
          <w:bCs/>
        </w:rPr>
        <w:t xml:space="preserve"> gender-based violence against women, including by designing a </w:t>
      </w:r>
      <w:r>
        <w:rPr>
          <w:b/>
          <w:bCs/>
        </w:rPr>
        <w:t xml:space="preserve">gender-sensitive </w:t>
      </w:r>
      <w:r w:rsidRPr="00C65D13">
        <w:rPr>
          <w:b/>
          <w:bCs/>
        </w:rPr>
        <w:t>protocol for the investigation of gender-based killings (femicides)</w:t>
      </w:r>
      <w:r>
        <w:rPr>
          <w:b/>
          <w:bCs/>
        </w:rPr>
        <w:t>, adopting a national action plan to combat gender-based violence against women, including online violence;</w:t>
      </w:r>
    </w:p>
    <w:p w14:paraId="39A9759C" w14:textId="78FD1248" w:rsidR="00CF1577" w:rsidRDefault="00CF1577" w:rsidP="00CF1577">
      <w:pPr>
        <w:pStyle w:val="SingleTxtG"/>
        <w:rPr>
          <w:b/>
          <w:bCs/>
        </w:rPr>
      </w:pPr>
      <w:r w:rsidRPr="00E14DE8">
        <w:tab/>
        <w:t>(</w:t>
      </w:r>
      <w:r>
        <w:t>b</w:t>
      </w:r>
      <w:r w:rsidRPr="00E14DE8">
        <w:t>)</w:t>
      </w:r>
      <w:r w:rsidRPr="00E14DE8">
        <w:rPr>
          <w:b/>
          <w:bCs/>
        </w:rPr>
        <w:tab/>
      </w:r>
      <w:r>
        <w:rPr>
          <w:b/>
          <w:bCs/>
        </w:rPr>
        <w:t xml:space="preserve">Adopt </w:t>
      </w:r>
      <w:r w:rsidRPr="00E14DE8">
        <w:rPr>
          <w:b/>
          <w:bCs/>
        </w:rPr>
        <w:t>the</w:t>
      </w:r>
      <w:r>
        <w:rPr>
          <w:b/>
          <w:bCs/>
        </w:rPr>
        <w:t xml:space="preserve"> necessary r</w:t>
      </w:r>
      <w:r w:rsidRPr="00E14DE8">
        <w:rPr>
          <w:b/>
          <w:bCs/>
        </w:rPr>
        <w:t>egulation</w:t>
      </w:r>
      <w:r>
        <w:rPr>
          <w:b/>
          <w:bCs/>
        </w:rPr>
        <w:t>s and gender-sensitive protocols</w:t>
      </w:r>
      <w:r w:rsidRPr="00E14DE8">
        <w:rPr>
          <w:b/>
          <w:bCs/>
        </w:rPr>
        <w:t xml:space="preserve"> </w:t>
      </w:r>
      <w:r>
        <w:rPr>
          <w:b/>
          <w:bCs/>
        </w:rPr>
        <w:t xml:space="preserve">for the implementation </w:t>
      </w:r>
      <w:r w:rsidRPr="00E14DE8">
        <w:rPr>
          <w:b/>
          <w:bCs/>
        </w:rPr>
        <w:t xml:space="preserve">of the </w:t>
      </w:r>
      <w:r w:rsidR="00FB386C">
        <w:rPr>
          <w:b/>
          <w:bCs/>
        </w:rPr>
        <w:t xml:space="preserve">Organic </w:t>
      </w:r>
      <w:r w:rsidRPr="00172F01">
        <w:rPr>
          <w:b/>
          <w:bCs/>
        </w:rPr>
        <w:t xml:space="preserve">Law on Women’s Right to a Life Free from Violence </w:t>
      </w:r>
      <w:r w:rsidR="00E530C2">
        <w:rPr>
          <w:b/>
          <w:bCs/>
        </w:rPr>
        <w:t>and specific</w:t>
      </w:r>
      <w:r w:rsidRPr="001D1F20">
        <w:rPr>
          <w:b/>
          <w:bCs/>
        </w:rPr>
        <w:t xml:space="preserve"> </w:t>
      </w:r>
      <w:r>
        <w:rPr>
          <w:b/>
          <w:bCs/>
        </w:rPr>
        <w:t>legislation</w:t>
      </w:r>
      <w:r w:rsidRPr="001D1F20">
        <w:rPr>
          <w:b/>
          <w:bCs/>
        </w:rPr>
        <w:t xml:space="preserve"> on </w:t>
      </w:r>
      <w:r>
        <w:rPr>
          <w:b/>
          <w:bCs/>
        </w:rPr>
        <w:t>g</w:t>
      </w:r>
      <w:r w:rsidRPr="001D1F20">
        <w:rPr>
          <w:b/>
          <w:bCs/>
        </w:rPr>
        <w:t xml:space="preserve">ender </w:t>
      </w:r>
      <w:r>
        <w:rPr>
          <w:b/>
          <w:bCs/>
        </w:rPr>
        <w:t>e</w:t>
      </w:r>
      <w:r w:rsidRPr="001D1F20">
        <w:rPr>
          <w:b/>
          <w:bCs/>
        </w:rPr>
        <w:t>quality that complies with international standards</w:t>
      </w:r>
      <w:r>
        <w:rPr>
          <w:b/>
          <w:bCs/>
        </w:rPr>
        <w:t>;</w:t>
      </w:r>
    </w:p>
    <w:p w14:paraId="3511B691" w14:textId="0307C27B" w:rsidR="00CF1577" w:rsidRPr="00503A6F" w:rsidRDefault="00CF1577" w:rsidP="00CF1577">
      <w:pPr>
        <w:pStyle w:val="SingleTxtG"/>
        <w:rPr>
          <w:b/>
          <w:bCs/>
        </w:rPr>
      </w:pPr>
      <w:r>
        <w:tab/>
        <w:t>(c)</w:t>
      </w:r>
      <w:r>
        <w:tab/>
      </w:r>
      <w:r>
        <w:rPr>
          <w:b/>
          <w:bCs/>
        </w:rPr>
        <w:t>Strengthen support services for women and girls who are victims of gender-based violence, including by i</w:t>
      </w:r>
      <w:r w:rsidRPr="008D39C1">
        <w:rPr>
          <w:b/>
          <w:bCs/>
        </w:rPr>
        <w:t>ncreas</w:t>
      </w:r>
      <w:r>
        <w:rPr>
          <w:b/>
          <w:bCs/>
        </w:rPr>
        <w:t>ing</w:t>
      </w:r>
      <w:r w:rsidR="006B23C8">
        <w:rPr>
          <w:b/>
          <w:bCs/>
        </w:rPr>
        <w:t xml:space="preserve"> the number</w:t>
      </w:r>
      <w:r w:rsidR="002C14CB">
        <w:rPr>
          <w:b/>
          <w:bCs/>
        </w:rPr>
        <w:t xml:space="preserve"> of adequately funded shelters</w:t>
      </w:r>
      <w:r w:rsidR="00E171EF">
        <w:rPr>
          <w:b/>
          <w:bCs/>
        </w:rPr>
        <w:t>,</w:t>
      </w:r>
      <w:r>
        <w:rPr>
          <w:b/>
          <w:bCs/>
        </w:rPr>
        <w:t xml:space="preserve"> without delay,</w:t>
      </w:r>
      <w:r w:rsidRPr="008D39C1">
        <w:rPr>
          <w:b/>
          <w:bCs/>
        </w:rPr>
        <w:t xml:space="preserve"> for victims of gender-based violence</w:t>
      </w:r>
      <w:r>
        <w:rPr>
          <w:b/>
          <w:bCs/>
        </w:rPr>
        <w:t xml:space="preserve"> across the State party </w:t>
      </w:r>
      <w:r w:rsidRPr="00503A6F">
        <w:rPr>
          <w:b/>
          <w:bCs/>
        </w:rPr>
        <w:t xml:space="preserve">and </w:t>
      </w:r>
      <w:r>
        <w:rPr>
          <w:b/>
          <w:bCs/>
        </w:rPr>
        <w:t>providing</w:t>
      </w:r>
      <w:r w:rsidRPr="00503A6F">
        <w:rPr>
          <w:b/>
          <w:bCs/>
        </w:rPr>
        <w:t xml:space="preserve"> </w:t>
      </w:r>
      <w:r>
        <w:rPr>
          <w:b/>
          <w:bCs/>
        </w:rPr>
        <w:t xml:space="preserve">victims with access to legal assistance, forensic evidence, </w:t>
      </w:r>
      <w:r w:rsidRPr="00503A6F">
        <w:rPr>
          <w:b/>
          <w:bCs/>
        </w:rPr>
        <w:t>psycho</w:t>
      </w:r>
      <w:r>
        <w:rPr>
          <w:b/>
          <w:bCs/>
        </w:rPr>
        <w:t>social counselling, and rehabilitation programmes</w:t>
      </w:r>
      <w:r w:rsidR="00140BF1">
        <w:rPr>
          <w:b/>
          <w:bCs/>
        </w:rPr>
        <w:t>;</w:t>
      </w:r>
    </w:p>
    <w:p w14:paraId="0395AACD" w14:textId="13A33EB9" w:rsidR="00CF1577" w:rsidRPr="003420B9" w:rsidRDefault="00CF1577" w:rsidP="00CF1577">
      <w:pPr>
        <w:pStyle w:val="SingleTxtG"/>
        <w:rPr>
          <w:b/>
          <w:bCs/>
        </w:rPr>
      </w:pPr>
      <w:r w:rsidRPr="003420B9">
        <w:rPr>
          <w:b/>
        </w:rPr>
        <w:tab/>
      </w:r>
      <w:r w:rsidRPr="003420B9">
        <w:rPr>
          <w:bCs/>
        </w:rPr>
        <w:t>(</w:t>
      </w:r>
      <w:r>
        <w:rPr>
          <w:bCs/>
        </w:rPr>
        <w:t>d</w:t>
      </w:r>
      <w:r w:rsidRPr="003420B9">
        <w:rPr>
          <w:bCs/>
        </w:rPr>
        <w:t>)</w:t>
      </w:r>
      <w:r w:rsidRPr="003420B9">
        <w:rPr>
          <w:b/>
        </w:rPr>
        <w:tab/>
      </w:r>
      <w:r>
        <w:rPr>
          <w:b/>
          <w:bCs/>
        </w:rPr>
        <w:t>E</w:t>
      </w:r>
      <w:r w:rsidRPr="003420B9">
        <w:rPr>
          <w:b/>
          <w:bCs/>
        </w:rPr>
        <w:t xml:space="preserve">stablish a </w:t>
      </w:r>
      <w:r>
        <w:rPr>
          <w:b/>
          <w:bCs/>
        </w:rPr>
        <w:t xml:space="preserve">data collection system for the </w:t>
      </w:r>
      <w:r w:rsidRPr="003420B9">
        <w:rPr>
          <w:b/>
          <w:bCs/>
        </w:rPr>
        <w:t xml:space="preserve">regular </w:t>
      </w:r>
      <w:r>
        <w:rPr>
          <w:b/>
          <w:bCs/>
        </w:rPr>
        <w:t>compilation</w:t>
      </w:r>
      <w:r w:rsidRPr="003420B9">
        <w:rPr>
          <w:b/>
          <w:bCs/>
        </w:rPr>
        <w:t xml:space="preserve"> of statistical data on </w:t>
      </w:r>
      <w:r>
        <w:rPr>
          <w:b/>
          <w:bCs/>
        </w:rPr>
        <w:t xml:space="preserve">gender-based </w:t>
      </w:r>
      <w:r w:rsidRPr="003420B9">
        <w:rPr>
          <w:b/>
          <w:bCs/>
        </w:rPr>
        <w:t>violence against women,</w:t>
      </w:r>
      <w:r w:rsidR="00C0466E">
        <w:rPr>
          <w:b/>
          <w:bCs/>
        </w:rPr>
        <w:t xml:space="preserve"> including femicide,</w:t>
      </w:r>
      <w:r w:rsidRPr="003420B9">
        <w:rPr>
          <w:b/>
          <w:bCs/>
        </w:rPr>
        <w:t xml:space="preserve"> disaggregated by form of violence and the relationship between the perpetrator and the victim, and </w:t>
      </w:r>
      <w:r>
        <w:rPr>
          <w:b/>
          <w:bCs/>
        </w:rPr>
        <w:t xml:space="preserve">provide in its next periodic report updated information </w:t>
      </w:r>
      <w:r w:rsidRPr="003420B9">
        <w:rPr>
          <w:b/>
          <w:bCs/>
        </w:rPr>
        <w:t>on the number of complaints, prosecutions, convictions and sentences imposed on perpetrators, as well as on reparations provided to victims</w:t>
      </w:r>
      <w:r>
        <w:rPr>
          <w:b/>
          <w:bCs/>
        </w:rPr>
        <w:t>.</w:t>
      </w:r>
    </w:p>
    <w:p w14:paraId="1FC630F3" w14:textId="77777777" w:rsidR="00CF1577" w:rsidRPr="00560A62" w:rsidRDefault="00CF1577" w:rsidP="00CF1577">
      <w:pPr>
        <w:pStyle w:val="H23G"/>
      </w:pPr>
      <w:r w:rsidRPr="00560A62">
        <w:tab/>
      </w:r>
      <w:r w:rsidRPr="00560A62">
        <w:tab/>
      </w:r>
      <w:bookmarkStart w:id="0" w:name="_Hlk135738537"/>
      <w:r w:rsidRPr="00560A62">
        <w:t>Trafficking and exploitation of prostitution</w:t>
      </w:r>
      <w:bookmarkEnd w:id="0"/>
    </w:p>
    <w:p w14:paraId="11508FC8" w14:textId="08135296" w:rsidR="00CF1577" w:rsidRDefault="00CF1577" w:rsidP="00CF1577">
      <w:pPr>
        <w:pStyle w:val="SingleTxtG"/>
      </w:pPr>
      <w:r w:rsidRPr="00E745CC">
        <w:t>2</w:t>
      </w:r>
      <w:r w:rsidR="00055908">
        <w:t>7</w:t>
      </w:r>
      <w:r w:rsidRPr="00E745CC">
        <w:t>.</w:t>
      </w:r>
      <w:r w:rsidRPr="00E745CC">
        <w:tab/>
        <w:t xml:space="preserve">The Committee notes the </w:t>
      </w:r>
      <w:r>
        <w:t xml:space="preserve">creation of the Special Unit within the Office of the Attorney General (Fiscalia 95) with jurisdiction for trafficking in persons, in particular women and girls, to, within and from the State party. </w:t>
      </w:r>
      <w:r w:rsidRPr="0021141F">
        <w:t xml:space="preserve">However, the </w:t>
      </w:r>
      <w:r w:rsidRPr="000E492B">
        <w:t>Committee notes with concern</w:t>
      </w:r>
      <w:r>
        <w:t>:</w:t>
      </w:r>
      <w:r w:rsidRPr="000E492B">
        <w:t xml:space="preserve"> </w:t>
      </w:r>
    </w:p>
    <w:p w14:paraId="5AA8934B" w14:textId="77777777" w:rsidR="00CF1577" w:rsidRDefault="00CF1577" w:rsidP="00CF1577">
      <w:pPr>
        <w:pStyle w:val="SingleTxtG"/>
      </w:pPr>
      <w:r>
        <w:tab/>
        <w:t>(a)</w:t>
      </w:r>
      <w:r>
        <w:tab/>
        <w:t>T</w:t>
      </w:r>
      <w:r w:rsidRPr="000E492B">
        <w:t xml:space="preserve">he </w:t>
      </w:r>
      <w:r>
        <w:t>limited measures to prevent, prosecute and punish cases</w:t>
      </w:r>
      <w:r w:rsidRPr="000E492B">
        <w:t xml:space="preserve"> of trafficking </w:t>
      </w:r>
      <w:r w:rsidRPr="00DE7687">
        <w:t xml:space="preserve">in persons, in particular women and girls, </w:t>
      </w:r>
      <w:r>
        <w:t xml:space="preserve">in the State party </w:t>
      </w:r>
      <w:r w:rsidRPr="00DE7687">
        <w:t>for</w:t>
      </w:r>
      <w:r>
        <w:t xml:space="preserve"> </w:t>
      </w:r>
      <w:r w:rsidRPr="00DE7687">
        <w:t>purposes of sexual exploitation and forced labour, as well as the heightened risk of sex trafficking for indigenous, Afro-descendant and migrant women and girls in the border areas;</w:t>
      </w:r>
    </w:p>
    <w:p w14:paraId="10278176" w14:textId="77777777" w:rsidR="00CF1577" w:rsidRPr="00DE7687" w:rsidRDefault="00CF1577" w:rsidP="00CF1577">
      <w:pPr>
        <w:pStyle w:val="SingleTxtG"/>
      </w:pPr>
      <w:r>
        <w:tab/>
        <w:t>(</w:t>
      </w:r>
      <w:r w:rsidRPr="00066193">
        <w:t>b)</w:t>
      </w:r>
      <w:r w:rsidRPr="00066193">
        <w:tab/>
        <w:t xml:space="preserve">Allegations of contemporary forms of slavery, including sex trafficking and child labour in mining areas, particularly in the </w:t>
      </w:r>
      <w:r w:rsidRPr="002A631E">
        <w:t>Orinoco mining arc and along the borders with Brazil and Colombia</w:t>
      </w:r>
      <w:r w:rsidRPr="00066193">
        <w:t xml:space="preserve">, </w:t>
      </w:r>
      <w:r>
        <w:t xml:space="preserve">in the context of </w:t>
      </w:r>
      <w:r w:rsidRPr="00066193">
        <w:t>the presence of non-state armed and criminal groups</w:t>
      </w:r>
      <w:r>
        <w:t xml:space="preserve"> linked to </w:t>
      </w:r>
      <w:r w:rsidRPr="00066193">
        <w:t>extraction activities;</w:t>
      </w:r>
    </w:p>
    <w:p w14:paraId="325E1CAC" w14:textId="77777777" w:rsidR="00371DDE" w:rsidRDefault="00CF1577" w:rsidP="00371DDE">
      <w:pPr>
        <w:pStyle w:val="SingleTxtG"/>
      </w:pPr>
      <w:r>
        <w:tab/>
      </w:r>
      <w:r w:rsidR="00371DDE">
        <w:t>(c)</w:t>
      </w:r>
      <w:r w:rsidR="00371DDE">
        <w:tab/>
      </w:r>
      <w:r w:rsidR="00371DDE" w:rsidRPr="00B847D4">
        <w:t xml:space="preserve">The lack of </w:t>
      </w:r>
      <w:r w:rsidR="00371DDE" w:rsidRPr="00ED5A88">
        <w:rPr>
          <w:lang w:val="en-US"/>
        </w:rPr>
        <w:t xml:space="preserve">a specific and comprehensive law on trafficking in persons, and the </w:t>
      </w:r>
      <w:r w:rsidR="00371DDE" w:rsidRPr="00ED5A88">
        <w:t xml:space="preserve">delay in </w:t>
      </w:r>
      <w:r w:rsidR="00371DDE">
        <w:t>publishing</w:t>
      </w:r>
      <w:r w:rsidR="00371DDE" w:rsidRPr="00ED5A88">
        <w:t xml:space="preserve"> the National</w:t>
      </w:r>
      <w:r w:rsidR="00371DDE" w:rsidRPr="00B847D4">
        <w:t xml:space="preserve"> Plan against Human Trafficking (2021-2025)</w:t>
      </w:r>
      <w:r w:rsidR="00371DDE">
        <w:t>, as well a focus on prosecution and the neglect</w:t>
      </w:r>
      <w:r w:rsidR="00371DDE" w:rsidRPr="00B847D4">
        <w:t xml:space="preserve"> </w:t>
      </w:r>
      <w:r w:rsidR="00371DDE">
        <w:t>of</w:t>
      </w:r>
      <w:r w:rsidR="00371DDE" w:rsidRPr="00B847D4">
        <w:t xml:space="preserve"> prevent</w:t>
      </w:r>
      <w:r w:rsidR="00371DDE">
        <w:t>ion</w:t>
      </w:r>
      <w:r w:rsidR="00371DDE" w:rsidRPr="000E492B">
        <w:t xml:space="preserve"> and assist</w:t>
      </w:r>
      <w:r w:rsidR="00371DDE">
        <w:t>ance to</w:t>
      </w:r>
      <w:r w:rsidR="00371DDE" w:rsidRPr="000E492B">
        <w:t xml:space="preserve"> victims of trafficking in accordance with the Protocol to Prevent, Suppress and Punish Trafficking in Persons, Especially Women and Children, supplementing the United Nations Convention against Transnational Organized Crime (</w:t>
      </w:r>
      <w:r w:rsidR="00371DDE">
        <w:t>Palermo</w:t>
      </w:r>
      <w:r w:rsidR="00371DDE" w:rsidRPr="000E492B">
        <w:t xml:space="preserve"> Protocol)</w:t>
      </w:r>
      <w:r w:rsidR="00371DDE">
        <w:t>;</w:t>
      </w:r>
    </w:p>
    <w:p w14:paraId="1CB123FD" w14:textId="69909307" w:rsidR="00026475" w:rsidRDefault="00CF1577" w:rsidP="00CF1577">
      <w:pPr>
        <w:pStyle w:val="SingleTxtG"/>
      </w:pPr>
      <w:r>
        <w:rPr>
          <w:b/>
          <w:bCs/>
        </w:rPr>
        <w:lastRenderedPageBreak/>
        <w:tab/>
      </w:r>
      <w:r w:rsidRPr="00485425">
        <w:t>(</w:t>
      </w:r>
      <w:r>
        <w:t>d</w:t>
      </w:r>
      <w:r w:rsidRPr="00485425">
        <w:t>)</w:t>
      </w:r>
      <w:r w:rsidRPr="00485425">
        <w:tab/>
        <w:t xml:space="preserve">The </w:t>
      </w:r>
      <w:r>
        <w:t>lack of</w:t>
      </w:r>
      <w:r w:rsidRPr="00485425">
        <w:t xml:space="preserve"> </w:t>
      </w:r>
      <w:r>
        <w:t>disaggregated</w:t>
      </w:r>
      <w:r w:rsidRPr="00485425">
        <w:t xml:space="preserve"> data </w:t>
      </w:r>
      <w:r>
        <w:t>on trafficking in women and girls</w:t>
      </w:r>
      <w:r w:rsidR="00371DDE">
        <w:t xml:space="preserve"> into and out of the State part</w:t>
      </w:r>
      <w:r w:rsidR="00026475">
        <w:t>y and the lack o</w:t>
      </w:r>
      <w:r w:rsidR="00B81756">
        <w:t>f</w:t>
      </w:r>
      <w:r w:rsidR="00026475">
        <w:t xml:space="preserve"> information on exploitation of prostitution;</w:t>
      </w:r>
    </w:p>
    <w:p w14:paraId="09FFFB28" w14:textId="10483C85" w:rsidR="00CF1577" w:rsidRPr="007C2795" w:rsidRDefault="00026475" w:rsidP="007C2795">
      <w:pPr>
        <w:pStyle w:val="SingleTxtG"/>
        <w:rPr>
          <w:rFonts w:asciiTheme="majorBidi" w:hAnsiTheme="majorBidi" w:cstheme="majorBidi"/>
        </w:rPr>
      </w:pPr>
      <w:r>
        <w:tab/>
        <w:t>(e)</w:t>
      </w:r>
      <w:r>
        <w:tab/>
        <w:t>T</w:t>
      </w:r>
      <w:r w:rsidR="00CF1577">
        <w:t>he absence of a protocol for the early identification and referral of victims of trafficking to appropriate services</w:t>
      </w:r>
      <w:r w:rsidR="004C437B">
        <w:t xml:space="preserve"> and for assisting </w:t>
      </w:r>
      <w:r w:rsidR="004C437B" w:rsidRPr="00B86591">
        <w:rPr>
          <w:rFonts w:asciiTheme="majorBidi" w:hAnsiTheme="majorBidi" w:cstheme="majorBidi"/>
        </w:rPr>
        <w:t>women</w:t>
      </w:r>
      <w:r w:rsidR="004C437B" w:rsidRPr="008B1A18">
        <w:rPr>
          <w:rFonts w:asciiTheme="majorBidi" w:hAnsiTheme="majorBidi" w:cstheme="majorBidi"/>
        </w:rPr>
        <w:t xml:space="preserve"> </w:t>
      </w:r>
      <w:r w:rsidR="004C437B">
        <w:rPr>
          <w:rFonts w:asciiTheme="majorBidi" w:hAnsiTheme="majorBidi" w:cstheme="majorBidi"/>
        </w:rPr>
        <w:t xml:space="preserve">who migrate out of the State party </w:t>
      </w:r>
      <w:r w:rsidR="004C437B" w:rsidRPr="008B1A18">
        <w:rPr>
          <w:rFonts w:asciiTheme="majorBidi" w:hAnsiTheme="majorBidi" w:cstheme="majorBidi"/>
        </w:rPr>
        <w:t xml:space="preserve">to uphold all their formal documents, educational and professional diplomas, which </w:t>
      </w:r>
      <w:r w:rsidR="004C437B">
        <w:rPr>
          <w:rFonts w:asciiTheme="majorBidi" w:hAnsiTheme="majorBidi" w:cstheme="majorBidi"/>
        </w:rPr>
        <w:t>minimize risk of exploitation for prostitution and trafficking</w:t>
      </w:r>
      <w:r w:rsidR="00140BF1">
        <w:t>.</w:t>
      </w:r>
    </w:p>
    <w:p w14:paraId="3C52F444" w14:textId="6854048E" w:rsidR="00CF1577" w:rsidRDefault="00CF1577" w:rsidP="00CF1577">
      <w:pPr>
        <w:pStyle w:val="SingleTxtG"/>
        <w:rPr>
          <w:b/>
          <w:bCs/>
        </w:rPr>
      </w:pPr>
      <w:r w:rsidRPr="008E2801">
        <w:t>2</w:t>
      </w:r>
      <w:r w:rsidR="00055908">
        <w:t>8</w:t>
      </w:r>
      <w:r w:rsidRPr="008E2801">
        <w:t>.</w:t>
      </w:r>
      <w:r w:rsidRPr="008E2801">
        <w:tab/>
      </w:r>
      <w:r w:rsidRPr="008E2801">
        <w:rPr>
          <w:b/>
          <w:bCs/>
        </w:rPr>
        <w:t xml:space="preserve">Recalling its general recommendation No. 38 (2020) on trafficking in women and girls in the context of global migration, the Committee recommends that the State party: </w:t>
      </w:r>
    </w:p>
    <w:p w14:paraId="55719A29" w14:textId="45AD8BB1" w:rsidR="00CF1577" w:rsidRPr="00A511C3" w:rsidRDefault="00CF1577" w:rsidP="00CF1577">
      <w:pPr>
        <w:pStyle w:val="SingleTxtG"/>
        <w:rPr>
          <w:b/>
          <w:bCs/>
        </w:rPr>
      </w:pPr>
      <w:r>
        <w:tab/>
      </w:r>
      <w:r w:rsidRPr="00A511C3">
        <w:t>(</w:t>
      </w:r>
      <w:r>
        <w:t>a</w:t>
      </w:r>
      <w:r w:rsidRPr="00A511C3">
        <w:t>)</w:t>
      </w:r>
      <w:r w:rsidRPr="00A511C3">
        <w:tab/>
      </w:r>
      <w:r>
        <w:rPr>
          <w:b/>
          <w:bCs/>
        </w:rPr>
        <w:t>Combat</w:t>
      </w:r>
      <w:r w:rsidRPr="005844B6">
        <w:rPr>
          <w:b/>
          <w:bCs/>
        </w:rPr>
        <w:t xml:space="preserve"> forced recruitment and trafficking </w:t>
      </w:r>
      <w:r>
        <w:rPr>
          <w:b/>
          <w:bCs/>
        </w:rPr>
        <w:t xml:space="preserve">in women and girls </w:t>
      </w:r>
      <w:r w:rsidRPr="005844B6">
        <w:rPr>
          <w:b/>
          <w:bCs/>
        </w:rPr>
        <w:t>by irregular armed groups, particularly in the context of the Orinoco mining arc, and along the borders with Brazil and Colombia</w:t>
      </w:r>
      <w:r>
        <w:rPr>
          <w:b/>
          <w:bCs/>
        </w:rPr>
        <w:t>,</w:t>
      </w:r>
      <w:r w:rsidRPr="005844B6">
        <w:rPr>
          <w:b/>
          <w:bCs/>
        </w:rPr>
        <w:t xml:space="preserve"> and</w:t>
      </w:r>
      <w:r>
        <w:t xml:space="preserve"> </w:t>
      </w:r>
      <w:r>
        <w:rPr>
          <w:b/>
          <w:bCs/>
        </w:rPr>
        <w:t>i</w:t>
      </w:r>
      <w:r w:rsidRPr="009C6041">
        <w:rPr>
          <w:b/>
          <w:bCs/>
        </w:rPr>
        <w:t>nvestigate all allegations of contemporary forms of slavery,</w:t>
      </w:r>
      <w:r>
        <w:rPr>
          <w:b/>
          <w:bCs/>
        </w:rPr>
        <w:t xml:space="preserve"> p</w:t>
      </w:r>
      <w:r w:rsidRPr="008E2B4B">
        <w:rPr>
          <w:b/>
          <w:bCs/>
        </w:rPr>
        <w:t xml:space="preserve">rosecute and adequately </w:t>
      </w:r>
      <w:r w:rsidR="00920070">
        <w:rPr>
          <w:b/>
          <w:bCs/>
        </w:rPr>
        <w:t xml:space="preserve">punish </w:t>
      </w:r>
      <w:r>
        <w:rPr>
          <w:b/>
          <w:bCs/>
        </w:rPr>
        <w:t>perpetrators</w:t>
      </w:r>
      <w:r w:rsidRPr="008E2B4B">
        <w:rPr>
          <w:b/>
          <w:bCs/>
        </w:rPr>
        <w:t xml:space="preserve">, </w:t>
      </w:r>
      <w:r>
        <w:rPr>
          <w:b/>
          <w:bCs/>
        </w:rPr>
        <w:t xml:space="preserve">while </w:t>
      </w:r>
      <w:r w:rsidRPr="008E2B4B">
        <w:rPr>
          <w:b/>
          <w:bCs/>
        </w:rPr>
        <w:t xml:space="preserve">ensuring </w:t>
      </w:r>
      <w:r>
        <w:rPr>
          <w:b/>
          <w:bCs/>
        </w:rPr>
        <w:t xml:space="preserve">that </w:t>
      </w:r>
      <w:r w:rsidR="00920070">
        <w:rPr>
          <w:b/>
          <w:bCs/>
        </w:rPr>
        <w:t xml:space="preserve">trafficked and exploited for prostitution </w:t>
      </w:r>
      <w:r w:rsidRPr="008E2B4B">
        <w:rPr>
          <w:b/>
          <w:bCs/>
        </w:rPr>
        <w:t xml:space="preserve">women and </w:t>
      </w:r>
      <w:r w:rsidR="00920070">
        <w:rPr>
          <w:b/>
          <w:bCs/>
        </w:rPr>
        <w:t xml:space="preserve">girls </w:t>
      </w:r>
      <w:r w:rsidRPr="008E2B4B">
        <w:rPr>
          <w:b/>
          <w:bCs/>
        </w:rPr>
        <w:t>are</w:t>
      </w:r>
      <w:r w:rsidR="00920070">
        <w:rPr>
          <w:b/>
          <w:bCs/>
        </w:rPr>
        <w:t xml:space="preserve"> protected</w:t>
      </w:r>
      <w:r>
        <w:t>;</w:t>
      </w:r>
    </w:p>
    <w:p w14:paraId="0233FF59" w14:textId="19BABCDC" w:rsidR="00CF1577" w:rsidRPr="00D1131E" w:rsidRDefault="00CF1577" w:rsidP="00CF1577">
      <w:pPr>
        <w:pStyle w:val="SingleTxtG"/>
        <w:rPr>
          <w:b/>
          <w:bCs/>
        </w:rPr>
      </w:pPr>
      <w:r w:rsidRPr="00D1131E">
        <w:tab/>
        <w:t>(</w:t>
      </w:r>
      <w:r>
        <w:t>b</w:t>
      </w:r>
      <w:r w:rsidRPr="00D1131E">
        <w:t>)</w:t>
      </w:r>
      <w:r w:rsidRPr="00D1131E">
        <w:tab/>
      </w:r>
      <w:r>
        <w:rPr>
          <w:b/>
          <w:bCs/>
        </w:rPr>
        <w:t>Elaborate</w:t>
      </w:r>
      <w:r w:rsidR="005071F8">
        <w:rPr>
          <w:b/>
          <w:bCs/>
        </w:rPr>
        <w:t xml:space="preserve">, according to international </w:t>
      </w:r>
      <w:r w:rsidR="005071F8" w:rsidRPr="0037198A">
        <w:rPr>
          <w:b/>
          <w:bCs/>
        </w:rPr>
        <w:t>conventions</w:t>
      </w:r>
      <w:r w:rsidR="009B4092" w:rsidRPr="0037198A">
        <w:rPr>
          <w:b/>
          <w:bCs/>
        </w:rPr>
        <w:t xml:space="preserve"> and protocols</w:t>
      </w:r>
      <w:r w:rsidR="005071F8" w:rsidRPr="0037198A">
        <w:rPr>
          <w:b/>
          <w:bCs/>
        </w:rPr>
        <w:t>,</w:t>
      </w:r>
      <w:r>
        <w:rPr>
          <w:b/>
          <w:bCs/>
        </w:rPr>
        <w:t xml:space="preserve"> and publish,</w:t>
      </w:r>
      <w:r w:rsidRPr="00D1131E">
        <w:rPr>
          <w:b/>
          <w:bCs/>
        </w:rPr>
        <w:t xml:space="preserve"> without delay</w:t>
      </w:r>
      <w:r>
        <w:rPr>
          <w:b/>
          <w:bCs/>
        </w:rPr>
        <w:t>,</w:t>
      </w:r>
      <w:r w:rsidRPr="00D1131E">
        <w:rPr>
          <w:b/>
          <w:bCs/>
        </w:rPr>
        <w:t xml:space="preserve"> the National Plan against Human Trafficking (2021-2025) and allocate sufficient human, technical and financial resources for its implementation</w:t>
      </w:r>
      <w:r>
        <w:rPr>
          <w:b/>
          <w:bCs/>
        </w:rPr>
        <w:t xml:space="preserve">, and elaborate </w:t>
      </w:r>
      <w:r w:rsidRPr="00914174">
        <w:rPr>
          <w:b/>
          <w:bCs/>
        </w:rPr>
        <w:t>a</w:t>
      </w:r>
      <w:r w:rsidRPr="00914174">
        <w:rPr>
          <w:b/>
          <w:bCs/>
          <w:lang w:val="en-US"/>
        </w:rPr>
        <w:t xml:space="preserve"> comprehensive law on trafficking in persons, </w:t>
      </w:r>
      <w:r>
        <w:rPr>
          <w:b/>
          <w:bCs/>
          <w:lang w:val="en-US"/>
        </w:rPr>
        <w:t xml:space="preserve">which also covers </w:t>
      </w:r>
      <w:r w:rsidRPr="00914174">
        <w:rPr>
          <w:b/>
          <w:bCs/>
          <w:lang w:val="en-US"/>
        </w:rPr>
        <w:t xml:space="preserve">exploitation of women and girls </w:t>
      </w:r>
      <w:r>
        <w:rPr>
          <w:b/>
          <w:bCs/>
          <w:lang w:val="en-US"/>
        </w:rPr>
        <w:t>via</w:t>
      </w:r>
      <w:r w:rsidRPr="00914174">
        <w:rPr>
          <w:b/>
          <w:bCs/>
          <w:lang w:val="en-US"/>
        </w:rPr>
        <w:t xml:space="preserve"> the internet</w:t>
      </w:r>
      <w:r w:rsidRPr="00914174">
        <w:rPr>
          <w:b/>
          <w:bCs/>
        </w:rPr>
        <w:t>;</w:t>
      </w:r>
    </w:p>
    <w:p w14:paraId="1FD7B4C1" w14:textId="3E467AFB" w:rsidR="00CF1577" w:rsidRDefault="00CF1577" w:rsidP="00CF1577">
      <w:pPr>
        <w:pStyle w:val="SingleTxtG"/>
      </w:pPr>
      <w:r>
        <w:rPr>
          <w:b/>
          <w:bCs/>
        </w:rPr>
        <w:tab/>
      </w:r>
      <w:r w:rsidRPr="007A7079">
        <w:t>(</w:t>
      </w:r>
      <w:r>
        <w:t>c</w:t>
      </w:r>
      <w:r w:rsidRPr="007A7079">
        <w:t>)</w:t>
      </w:r>
      <w:r>
        <w:rPr>
          <w:b/>
          <w:bCs/>
        </w:rPr>
        <w:tab/>
        <w:t xml:space="preserve">Develop a protocol for the early identification and referral of women and girls who are victims of trafficking to appropriate services, </w:t>
      </w:r>
      <w:r w:rsidRPr="00D1131E">
        <w:rPr>
          <w:b/>
          <w:bCs/>
        </w:rPr>
        <w:t>especially in border areas</w:t>
      </w:r>
      <w:r>
        <w:rPr>
          <w:b/>
          <w:bCs/>
        </w:rPr>
        <w:t>, and a</w:t>
      </w:r>
      <w:r w:rsidRPr="00535F46">
        <w:rPr>
          <w:b/>
          <w:bCs/>
        </w:rPr>
        <w:t>llocate sufficient funding to ensure adequate support services for victims of trafficking</w:t>
      </w:r>
      <w:r w:rsidR="009B4092">
        <w:rPr>
          <w:b/>
          <w:bCs/>
        </w:rPr>
        <w:t xml:space="preserve">, </w:t>
      </w:r>
      <w:r w:rsidR="0037198A">
        <w:rPr>
          <w:b/>
          <w:bCs/>
        </w:rPr>
        <w:t xml:space="preserve">into and out of the State party, </w:t>
      </w:r>
      <w:r w:rsidRPr="00535F46">
        <w:rPr>
          <w:b/>
          <w:bCs/>
        </w:rPr>
        <w:t xml:space="preserve">including shelters, psycho-social counselling, reintegration programmes and effective access to refugee status determination </w:t>
      </w:r>
      <w:r>
        <w:rPr>
          <w:b/>
          <w:bCs/>
        </w:rPr>
        <w:t xml:space="preserve">procedures for </w:t>
      </w:r>
      <w:r w:rsidRPr="00535F46">
        <w:rPr>
          <w:b/>
          <w:bCs/>
        </w:rPr>
        <w:t>those who may be in need of international protection</w:t>
      </w:r>
      <w:r>
        <w:rPr>
          <w:b/>
          <w:bCs/>
        </w:rPr>
        <w:t xml:space="preserve">, </w:t>
      </w:r>
      <w:r w:rsidRPr="005B0D50">
        <w:rPr>
          <w:b/>
          <w:bCs/>
        </w:rPr>
        <w:t>and strengthen cooperation with and State funding for non-governmental organisations that operate shelters and provide support services to victims of trafficking</w:t>
      </w:r>
      <w:r>
        <w:t>;</w:t>
      </w:r>
    </w:p>
    <w:p w14:paraId="313E052B" w14:textId="77777777" w:rsidR="00CF1577" w:rsidRPr="00777504" w:rsidRDefault="00CF1577" w:rsidP="00CF1577">
      <w:pPr>
        <w:pStyle w:val="SingleTxtG"/>
      </w:pPr>
      <w:r>
        <w:rPr>
          <w:bCs/>
        </w:rPr>
        <w:tab/>
        <w:t>(d)</w:t>
      </w:r>
      <w:r>
        <w:rPr>
          <w:bCs/>
        </w:rPr>
        <w:tab/>
      </w:r>
      <w:r>
        <w:rPr>
          <w:b/>
          <w:bCs/>
        </w:rPr>
        <w:t>Systematically collect disaggregated data on the number of investigations, prosecutions, convictions and the sentences imposed on perpetrators and their accomplices, including public officials, in cases of trafficking in women and girls, and on support and rehabilitation services, identification documents and temporary resident permit provided to victims, irrespective of their ability or willingness to cooperate with the prosecution authorities;</w:t>
      </w:r>
    </w:p>
    <w:p w14:paraId="3358FDD1" w14:textId="30E8BFA8" w:rsidR="00CF1577" w:rsidRPr="00777504" w:rsidRDefault="00CF1577" w:rsidP="00CF1577">
      <w:pPr>
        <w:pStyle w:val="SingleTxtG"/>
      </w:pPr>
      <w:r w:rsidRPr="005B0D50">
        <w:rPr>
          <w:b/>
          <w:bCs/>
        </w:rPr>
        <w:tab/>
      </w:r>
      <w:r w:rsidRPr="005B0D50">
        <w:rPr>
          <w:bCs/>
        </w:rPr>
        <w:t>(</w:t>
      </w:r>
      <w:r>
        <w:rPr>
          <w:bCs/>
        </w:rPr>
        <w:t>e</w:t>
      </w:r>
      <w:r w:rsidRPr="005B0D50">
        <w:rPr>
          <w:bCs/>
        </w:rPr>
        <w:t>)</w:t>
      </w:r>
      <w:r w:rsidRPr="005B0D50">
        <w:rPr>
          <w:b/>
          <w:bCs/>
        </w:rPr>
        <w:tab/>
        <w:t>Provide accessible and timely information on the illicit practices of trafficking and migrant smuggling networks to women and girls at risk of trafficking</w:t>
      </w:r>
      <w:r w:rsidR="00C509A3">
        <w:rPr>
          <w:b/>
          <w:bCs/>
        </w:rPr>
        <w:t xml:space="preserve"> and exploitation for prostitution, </w:t>
      </w:r>
      <w:r w:rsidRPr="005B0D50">
        <w:rPr>
          <w:b/>
          <w:bCs/>
        </w:rPr>
        <w:t xml:space="preserve">in particular migrant women and girls in transit </w:t>
      </w:r>
      <w:r w:rsidR="00922B61">
        <w:rPr>
          <w:b/>
          <w:bCs/>
        </w:rPr>
        <w:t xml:space="preserve">in and out of the country, </w:t>
      </w:r>
      <w:r w:rsidRPr="005B0D50">
        <w:rPr>
          <w:b/>
          <w:bCs/>
        </w:rPr>
        <w:t>in an irregular situation</w:t>
      </w:r>
      <w:r>
        <w:rPr>
          <w:b/>
          <w:bCs/>
        </w:rPr>
        <w:t xml:space="preserve"> and</w:t>
      </w:r>
      <w:r w:rsidRPr="005B0D50">
        <w:rPr>
          <w:b/>
          <w:bCs/>
        </w:rPr>
        <w:t xml:space="preserve"> refugee and asylum-seeking women and girls</w:t>
      </w:r>
      <w:r w:rsidR="00C509A3">
        <w:rPr>
          <w:bCs/>
        </w:rPr>
        <w:t xml:space="preserve">, </w:t>
      </w:r>
      <w:r w:rsidR="00C509A3">
        <w:rPr>
          <w:b/>
          <w:bCs/>
        </w:rPr>
        <w:t xml:space="preserve">and provide migrant women with </w:t>
      </w:r>
      <w:r w:rsidR="00C509A3" w:rsidRPr="008B1A18">
        <w:rPr>
          <w:rFonts w:asciiTheme="majorBidi" w:hAnsiTheme="majorBidi" w:cstheme="majorBidi"/>
          <w:b/>
          <w:bCs/>
        </w:rPr>
        <w:t>their formal documents, educational and professional diplomas</w:t>
      </w:r>
      <w:r w:rsidR="00C509A3" w:rsidRPr="008B1A18">
        <w:rPr>
          <w:b/>
          <w:bCs/>
        </w:rPr>
        <w:t>.</w:t>
      </w:r>
    </w:p>
    <w:p w14:paraId="780E016E" w14:textId="77777777" w:rsidR="00CF1577" w:rsidRPr="00560A62" w:rsidRDefault="00CF1577" w:rsidP="00140BF1">
      <w:pPr>
        <w:pStyle w:val="H23G"/>
      </w:pPr>
      <w:r w:rsidRPr="00560A62">
        <w:tab/>
      </w:r>
      <w:r w:rsidRPr="00560A62">
        <w:tab/>
        <w:t>Equal participation in political and public life</w:t>
      </w:r>
    </w:p>
    <w:p w14:paraId="4C59D63E" w14:textId="7A3FA109" w:rsidR="00CF1577" w:rsidRPr="00D85B91" w:rsidRDefault="00CF1577" w:rsidP="00CF1577">
      <w:pPr>
        <w:pStyle w:val="SingleTxtG"/>
        <w:rPr>
          <w:bCs/>
        </w:rPr>
      </w:pPr>
      <w:r w:rsidRPr="00D85B91">
        <w:rPr>
          <w:bCs/>
        </w:rPr>
        <w:t>2</w:t>
      </w:r>
      <w:r w:rsidR="00055908">
        <w:rPr>
          <w:bCs/>
        </w:rPr>
        <w:t>9</w:t>
      </w:r>
      <w:r w:rsidRPr="00D85B91">
        <w:rPr>
          <w:bCs/>
        </w:rPr>
        <w:t>.</w:t>
      </w:r>
      <w:r w:rsidRPr="008E2801">
        <w:rPr>
          <w:bCs/>
        </w:rPr>
        <w:tab/>
      </w:r>
      <w:r w:rsidRPr="00D85B91">
        <w:rPr>
          <w:bCs/>
        </w:rPr>
        <w:t xml:space="preserve">The Committee notes the measures taken by the State party to increase the participation of women in political and public life. However, it </w:t>
      </w:r>
      <w:r>
        <w:rPr>
          <w:bCs/>
        </w:rPr>
        <w:t>notes with</w:t>
      </w:r>
      <w:r w:rsidRPr="00D85B91">
        <w:rPr>
          <w:bCs/>
        </w:rPr>
        <w:t xml:space="preserve"> concern: </w:t>
      </w:r>
    </w:p>
    <w:p w14:paraId="2D7CD6FA" w14:textId="77777777" w:rsidR="00CF1577" w:rsidRPr="00D85B91" w:rsidRDefault="00CF1577" w:rsidP="00CF1577">
      <w:pPr>
        <w:pStyle w:val="SingleTxtG"/>
        <w:rPr>
          <w:bCs/>
        </w:rPr>
      </w:pPr>
      <w:r>
        <w:rPr>
          <w:bCs/>
        </w:rPr>
        <w:tab/>
      </w:r>
      <w:r w:rsidRPr="00D85B91">
        <w:rPr>
          <w:bCs/>
        </w:rPr>
        <w:t>(a)</w:t>
      </w:r>
      <w:r>
        <w:rPr>
          <w:bCs/>
        </w:rPr>
        <w:tab/>
      </w:r>
      <w:r w:rsidRPr="00D85B91">
        <w:rPr>
          <w:bCs/>
        </w:rPr>
        <w:t xml:space="preserve">That women’s representation in the National Assembly </w:t>
      </w:r>
      <w:r>
        <w:rPr>
          <w:bCs/>
        </w:rPr>
        <w:t>remains</w:t>
      </w:r>
      <w:r w:rsidRPr="00D85B91">
        <w:rPr>
          <w:bCs/>
        </w:rPr>
        <w:t xml:space="preserve"> </w:t>
      </w:r>
      <w:r>
        <w:rPr>
          <w:bCs/>
        </w:rPr>
        <w:t>at</w:t>
      </w:r>
      <w:r w:rsidRPr="008E2801">
        <w:rPr>
          <w:bCs/>
        </w:rPr>
        <w:t xml:space="preserve"> 31%</w:t>
      </w:r>
      <w:r>
        <w:rPr>
          <w:bCs/>
        </w:rPr>
        <w:t xml:space="preserve"> and that</w:t>
      </w:r>
      <w:r w:rsidRPr="008E2801">
        <w:rPr>
          <w:bCs/>
        </w:rPr>
        <w:t xml:space="preserve"> </w:t>
      </w:r>
      <w:r w:rsidRPr="00D85B91">
        <w:rPr>
          <w:bCs/>
        </w:rPr>
        <w:t xml:space="preserve">only </w:t>
      </w:r>
      <w:r w:rsidRPr="008E2801">
        <w:rPr>
          <w:bCs/>
        </w:rPr>
        <w:t xml:space="preserve">2 </w:t>
      </w:r>
      <w:r w:rsidRPr="00D85B91">
        <w:rPr>
          <w:bCs/>
        </w:rPr>
        <w:t xml:space="preserve">women have been elected as state governors </w:t>
      </w:r>
      <w:r>
        <w:rPr>
          <w:bCs/>
        </w:rPr>
        <w:t xml:space="preserve">(8.3%) </w:t>
      </w:r>
      <w:r w:rsidRPr="00D85B91">
        <w:rPr>
          <w:bCs/>
        </w:rPr>
        <w:t xml:space="preserve">and </w:t>
      </w:r>
      <w:r w:rsidRPr="008E2801">
        <w:rPr>
          <w:bCs/>
        </w:rPr>
        <w:t xml:space="preserve">62 as </w:t>
      </w:r>
      <w:r w:rsidRPr="00D85B91">
        <w:rPr>
          <w:bCs/>
        </w:rPr>
        <w:t>mayors</w:t>
      </w:r>
      <w:r>
        <w:rPr>
          <w:bCs/>
        </w:rPr>
        <w:t xml:space="preserve"> (19%)</w:t>
      </w:r>
      <w:r w:rsidRPr="00D85B91">
        <w:rPr>
          <w:bCs/>
        </w:rPr>
        <w:t>;</w:t>
      </w:r>
      <w:r w:rsidRPr="008E2801">
        <w:rPr>
          <w:bCs/>
        </w:rPr>
        <w:t xml:space="preserve"> </w:t>
      </w:r>
    </w:p>
    <w:p w14:paraId="294FEF1E" w14:textId="77777777" w:rsidR="00CF1577" w:rsidRPr="00D85B91" w:rsidRDefault="00CF1577" w:rsidP="00CF1577">
      <w:pPr>
        <w:pStyle w:val="SingleTxtG"/>
        <w:rPr>
          <w:bCs/>
        </w:rPr>
      </w:pPr>
      <w:r>
        <w:rPr>
          <w:bCs/>
        </w:rPr>
        <w:tab/>
      </w:r>
      <w:r w:rsidRPr="00D85B91">
        <w:rPr>
          <w:bCs/>
        </w:rPr>
        <w:t>(b)</w:t>
      </w:r>
      <w:r>
        <w:rPr>
          <w:bCs/>
        </w:rPr>
        <w:tab/>
      </w:r>
      <w:r w:rsidRPr="00D85B91">
        <w:rPr>
          <w:bCs/>
        </w:rPr>
        <w:t xml:space="preserve">That only </w:t>
      </w:r>
      <w:r>
        <w:rPr>
          <w:bCs/>
        </w:rPr>
        <w:t>9</w:t>
      </w:r>
      <w:r w:rsidRPr="00D85B91">
        <w:rPr>
          <w:bCs/>
        </w:rPr>
        <w:t xml:space="preserve"> of </w:t>
      </w:r>
      <w:r w:rsidRPr="00AC7F59">
        <w:rPr>
          <w:bCs/>
        </w:rPr>
        <w:t>3</w:t>
      </w:r>
      <w:r>
        <w:rPr>
          <w:bCs/>
        </w:rPr>
        <w:t>3</w:t>
      </w:r>
      <w:r w:rsidRPr="00D85B91">
        <w:rPr>
          <w:bCs/>
        </w:rPr>
        <w:t xml:space="preserve"> </w:t>
      </w:r>
      <w:r>
        <w:rPr>
          <w:bCs/>
        </w:rPr>
        <w:t>M</w:t>
      </w:r>
      <w:r w:rsidRPr="00D85B91">
        <w:rPr>
          <w:bCs/>
        </w:rPr>
        <w:t xml:space="preserve">inistries </w:t>
      </w:r>
      <w:r>
        <w:rPr>
          <w:bCs/>
        </w:rPr>
        <w:t xml:space="preserve">of the People’s Power </w:t>
      </w:r>
      <w:r w:rsidRPr="00D85B91">
        <w:rPr>
          <w:bCs/>
        </w:rPr>
        <w:t xml:space="preserve">are headed by women; </w:t>
      </w:r>
    </w:p>
    <w:p w14:paraId="7A951182" w14:textId="10A3997C" w:rsidR="00CF1577" w:rsidRDefault="00CF1577" w:rsidP="00CF1577">
      <w:pPr>
        <w:pStyle w:val="SingleTxtG"/>
        <w:rPr>
          <w:bCs/>
        </w:rPr>
      </w:pPr>
      <w:r w:rsidRPr="00597F35">
        <w:rPr>
          <w:bCs/>
        </w:rPr>
        <w:tab/>
        <w:t>(</w:t>
      </w:r>
      <w:r>
        <w:rPr>
          <w:bCs/>
        </w:rPr>
        <w:t>c</w:t>
      </w:r>
      <w:r w:rsidRPr="00597F35">
        <w:rPr>
          <w:bCs/>
        </w:rPr>
        <w:t>)</w:t>
      </w:r>
      <w:r w:rsidRPr="00597F35">
        <w:rPr>
          <w:bCs/>
        </w:rPr>
        <w:tab/>
        <w:t xml:space="preserve">The </w:t>
      </w:r>
      <w:r>
        <w:rPr>
          <w:bCs/>
        </w:rPr>
        <w:t>lack of</w:t>
      </w:r>
      <w:r w:rsidRPr="00597F35">
        <w:rPr>
          <w:bCs/>
        </w:rPr>
        <w:t xml:space="preserve"> effective temporary special measures required as a part of a comprehensive strategy to accelerate the achievement of substantive equality of women and men in political and public life, including women from disadvantaged groups</w:t>
      </w:r>
      <w:r>
        <w:rPr>
          <w:bCs/>
        </w:rPr>
        <w:t>,</w:t>
      </w:r>
      <w:r w:rsidRPr="00597F35">
        <w:rPr>
          <w:bCs/>
        </w:rPr>
        <w:t xml:space="preserve"> and that the measures taken to promote parity in elect</w:t>
      </w:r>
      <w:r w:rsidR="00D4446E">
        <w:rPr>
          <w:bCs/>
        </w:rPr>
        <w:t>oral slates</w:t>
      </w:r>
      <w:r w:rsidRPr="00597F35">
        <w:rPr>
          <w:bCs/>
        </w:rPr>
        <w:t xml:space="preserve"> are not mandat</w:t>
      </w:r>
      <w:r>
        <w:rPr>
          <w:bCs/>
        </w:rPr>
        <w:t>ed by law</w:t>
      </w:r>
      <w:r w:rsidR="009C1D07">
        <w:rPr>
          <w:bCs/>
        </w:rPr>
        <w:t>;</w:t>
      </w:r>
    </w:p>
    <w:p w14:paraId="227E1D8C" w14:textId="5B2E5C8D" w:rsidR="00A5530A" w:rsidRPr="007F2BF5" w:rsidRDefault="009C1D07" w:rsidP="007F2BF5">
      <w:pPr>
        <w:pStyle w:val="SingleTxtG"/>
      </w:pPr>
      <w:r>
        <w:rPr>
          <w:bCs/>
        </w:rPr>
        <w:tab/>
        <w:t>(d)</w:t>
      </w:r>
      <w:r>
        <w:rPr>
          <w:bCs/>
        </w:rPr>
        <w:tab/>
      </w:r>
      <w:r w:rsidR="00EE1182">
        <w:t>The reports of threats, intimidation and violence against women</w:t>
      </w:r>
      <w:r w:rsidR="000319CA">
        <w:t xml:space="preserve"> holding public positions</w:t>
      </w:r>
      <w:r w:rsidR="00EE1182">
        <w:t>, who are exposed to a climate of fear</w:t>
      </w:r>
      <w:r w:rsidR="00441592">
        <w:t xml:space="preserve"> </w:t>
      </w:r>
      <w:r w:rsidR="009C78DE">
        <w:t xml:space="preserve">that </w:t>
      </w:r>
      <w:r w:rsidR="00441592">
        <w:t>discourage</w:t>
      </w:r>
      <w:r w:rsidR="009C78DE">
        <w:t>s them</w:t>
      </w:r>
      <w:r w:rsidR="00441592">
        <w:t xml:space="preserve"> from participating</w:t>
      </w:r>
      <w:r w:rsidR="009C78DE">
        <w:t xml:space="preserve"> in political and public life</w:t>
      </w:r>
      <w:r w:rsidR="00EE1182">
        <w:t xml:space="preserve">. </w:t>
      </w:r>
    </w:p>
    <w:p w14:paraId="43CDB099" w14:textId="25077596" w:rsidR="00CF1577" w:rsidRDefault="00055908" w:rsidP="00CF1577">
      <w:pPr>
        <w:pStyle w:val="SingleTxtG"/>
        <w:rPr>
          <w:b/>
          <w:bCs/>
        </w:rPr>
      </w:pPr>
      <w:r>
        <w:rPr>
          <w:bCs/>
        </w:rPr>
        <w:lastRenderedPageBreak/>
        <w:t>30</w:t>
      </w:r>
      <w:r w:rsidR="00CF1577" w:rsidRPr="00E51FA9">
        <w:rPr>
          <w:bCs/>
        </w:rPr>
        <w:t>.</w:t>
      </w:r>
      <w:r w:rsidR="00CF1577">
        <w:rPr>
          <w:b/>
        </w:rPr>
        <w:tab/>
      </w:r>
      <w:r w:rsidR="00CF1577" w:rsidRPr="00D85B91">
        <w:rPr>
          <w:b/>
          <w:bCs/>
        </w:rPr>
        <w:t>In line with its general recommendation No. 23 on women in political and public life, the Committee recommends that the State party</w:t>
      </w:r>
      <w:r w:rsidR="00CF1577">
        <w:rPr>
          <w:b/>
          <w:bCs/>
        </w:rPr>
        <w:t xml:space="preserve"> </w:t>
      </w:r>
      <w:r w:rsidR="00CF1577" w:rsidRPr="003353F7">
        <w:rPr>
          <w:b/>
          <w:bCs/>
        </w:rPr>
        <w:t xml:space="preserve">continue its efforts to </w:t>
      </w:r>
      <w:r w:rsidR="00CF1577">
        <w:rPr>
          <w:b/>
          <w:bCs/>
        </w:rPr>
        <w:t>promote</w:t>
      </w:r>
      <w:r w:rsidR="00CF1577" w:rsidRPr="003353F7">
        <w:rPr>
          <w:b/>
          <w:bCs/>
        </w:rPr>
        <w:t xml:space="preserve"> women’s equal representation in the </w:t>
      </w:r>
      <w:r w:rsidR="00CF1577">
        <w:rPr>
          <w:b/>
          <w:bCs/>
        </w:rPr>
        <w:t xml:space="preserve">National Assembly, the </w:t>
      </w:r>
      <w:r w:rsidR="00CF1577" w:rsidRPr="003353F7">
        <w:rPr>
          <w:b/>
          <w:bCs/>
        </w:rPr>
        <w:t xml:space="preserve">Government, the judiciary, the decentralized bodies and in the civil service at the national, state and local levels, </w:t>
      </w:r>
      <w:r w:rsidR="00CF1577">
        <w:rPr>
          <w:b/>
          <w:bCs/>
        </w:rPr>
        <w:t>notably</w:t>
      </w:r>
      <w:r w:rsidR="00CF1577" w:rsidRPr="003353F7">
        <w:rPr>
          <w:b/>
          <w:bCs/>
        </w:rPr>
        <w:t xml:space="preserve"> </w:t>
      </w:r>
      <w:r w:rsidR="00CF1577">
        <w:rPr>
          <w:b/>
          <w:bCs/>
        </w:rPr>
        <w:t xml:space="preserve">through gender parity quotas, preferential recruitment of women to the public service, in particular at decision-making levels, and </w:t>
      </w:r>
      <w:r w:rsidR="00CF1577" w:rsidRPr="003353F7">
        <w:rPr>
          <w:b/>
          <w:bCs/>
        </w:rPr>
        <w:t xml:space="preserve">by </w:t>
      </w:r>
      <w:r w:rsidR="00CF1577">
        <w:rPr>
          <w:b/>
          <w:bCs/>
        </w:rPr>
        <w:t>amending</w:t>
      </w:r>
      <w:r w:rsidR="00CF1577" w:rsidRPr="003353F7">
        <w:rPr>
          <w:b/>
          <w:bCs/>
        </w:rPr>
        <w:t xml:space="preserve"> the </w:t>
      </w:r>
      <w:r w:rsidR="00CF1577">
        <w:rPr>
          <w:b/>
          <w:bCs/>
        </w:rPr>
        <w:t>Law</w:t>
      </w:r>
      <w:r w:rsidR="00CF1577" w:rsidRPr="003353F7">
        <w:rPr>
          <w:b/>
          <w:bCs/>
        </w:rPr>
        <w:t xml:space="preserve"> of Electoral Processes and the Law of Political Parties, </w:t>
      </w:r>
      <w:r w:rsidR="00CF1577">
        <w:rPr>
          <w:b/>
          <w:bCs/>
        </w:rPr>
        <w:t>to require</w:t>
      </w:r>
      <w:r w:rsidR="00CF1577" w:rsidRPr="003353F7">
        <w:rPr>
          <w:b/>
          <w:bCs/>
        </w:rPr>
        <w:t xml:space="preserve"> </w:t>
      </w:r>
      <w:r w:rsidR="00CF1577">
        <w:rPr>
          <w:b/>
          <w:bCs/>
        </w:rPr>
        <w:t>gender parity</w:t>
      </w:r>
      <w:r w:rsidR="00CF1577" w:rsidRPr="003353F7">
        <w:rPr>
          <w:b/>
          <w:bCs/>
        </w:rPr>
        <w:t xml:space="preserve"> in the structures </w:t>
      </w:r>
      <w:r w:rsidR="00CF1577">
        <w:rPr>
          <w:b/>
          <w:bCs/>
        </w:rPr>
        <w:t xml:space="preserve">and on electoral lists </w:t>
      </w:r>
      <w:r w:rsidR="00CF1577" w:rsidRPr="003353F7">
        <w:rPr>
          <w:b/>
          <w:bCs/>
        </w:rPr>
        <w:t xml:space="preserve">of political parties, </w:t>
      </w:r>
      <w:r w:rsidR="00CF1577">
        <w:rPr>
          <w:b/>
          <w:bCs/>
        </w:rPr>
        <w:t xml:space="preserve">with </w:t>
      </w:r>
      <w:r w:rsidR="00CF1577" w:rsidRPr="00EF302B">
        <w:rPr>
          <w:b/>
          <w:bCs/>
        </w:rPr>
        <w:t>sanctions in case of non-compliance by political parties</w:t>
      </w:r>
      <w:r w:rsidR="000319CA">
        <w:rPr>
          <w:b/>
          <w:bCs/>
        </w:rPr>
        <w:t xml:space="preserve"> and </w:t>
      </w:r>
      <w:r w:rsidR="0056453D">
        <w:rPr>
          <w:b/>
          <w:bCs/>
        </w:rPr>
        <w:t xml:space="preserve">take measures to combat political violence against women through prevention campaigns and sanctions to perpetrators. </w:t>
      </w:r>
    </w:p>
    <w:p w14:paraId="36C16ACE" w14:textId="7A5E3974" w:rsidR="00FE5A99" w:rsidRPr="001F5565" w:rsidRDefault="00FE5A99" w:rsidP="00B574C1">
      <w:pPr>
        <w:pStyle w:val="H23G"/>
        <w:rPr>
          <w:i/>
        </w:rPr>
      </w:pPr>
      <w:r w:rsidRPr="001F5565">
        <w:tab/>
      </w:r>
      <w:r w:rsidRPr="001F5565">
        <w:tab/>
        <w:t xml:space="preserve">Women human rights defenders </w:t>
      </w:r>
    </w:p>
    <w:p w14:paraId="352B3E33" w14:textId="44C66569" w:rsidR="00FE5A99" w:rsidRPr="000B5D15" w:rsidRDefault="00055908" w:rsidP="00FE5A99">
      <w:pPr>
        <w:pStyle w:val="SingleTxtG"/>
      </w:pPr>
      <w:r>
        <w:t>3</w:t>
      </w:r>
      <w:r w:rsidR="00FE5A99">
        <w:t>1</w:t>
      </w:r>
      <w:r w:rsidR="00FE5A99" w:rsidRPr="00501D16">
        <w:t>.</w:t>
      </w:r>
      <w:r w:rsidR="00FE5A99" w:rsidRPr="00501D16">
        <w:tab/>
        <w:t xml:space="preserve">The Committee </w:t>
      </w:r>
      <w:r w:rsidR="00FE5A99" w:rsidRPr="00501D16">
        <w:rPr>
          <w:lang w:val="en-US"/>
        </w:rPr>
        <w:t xml:space="preserve">reiterates its concern about the stigmatization and criminalization of civil society representatives, including women human rights defenders, journalists and media workers who continue to be discredited in </w:t>
      </w:r>
      <w:r w:rsidR="00FE5A99">
        <w:rPr>
          <w:lang w:val="en-US"/>
        </w:rPr>
        <w:t xml:space="preserve">the </w:t>
      </w:r>
      <w:r w:rsidR="00FE5A99" w:rsidRPr="00501D16">
        <w:rPr>
          <w:lang w:val="en-US"/>
        </w:rPr>
        <w:t>institutional</w:t>
      </w:r>
      <w:r w:rsidR="00FE5A99">
        <w:rPr>
          <w:lang w:val="en-US"/>
        </w:rPr>
        <w:t>ized</w:t>
      </w:r>
      <w:r w:rsidR="00FE5A99" w:rsidRPr="00501D16">
        <w:rPr>
          <w:lang w:val="en-US"/>
        </w:rPr>
        <w:t xml:space="preserve"> media</w:t>
      </w:r>
      <w:r w:rsidR="00FE5A99">
        <w:rPr>
          <w:lang w:val="en-US"/>
        </w:rPr>
        <w:t xml:space="preserve"> in the State party</w:t>
      </w:r>
      <w:r w:rsidR="00FE5A99" w:rsidRPr="00501D16">
        <w:rPr>
          <w:lang w:val="en-US"/>
        </w:rPr>
        <w:t xml:space="preserve">. It also </w:t>
      </w:r>
      <w:r w:rsidR="00FE5A99" w:rsidRPr="00501D16">
        <w:t xml:space="preserve">regrets the </w:t>
      </w:r>
      <w:r w:rsidR="00FE5A99">
        <w:t xml:space="preserve">insufficient </w:t>
      </w:r>
      <w:r w:rsidR="00FE5A99" w:rsidRPr="00501D16">
        <w:t xml:space="preserve">measures taken by the State party to expedite the investigation and prosecution of all acts of harassment, intimidation and reprisals perpetrated against women human rights defenders, as well as </w:t>
      </w:r>
      <w:r w:rsidR="00FE5A99">
        <w:t xml:space="preserve">the lack of </w:t>
      </w:r>
      <w:r w:rsidR="00FE5A99" w:rsidRPr="00501D16">
        <w:t xml:space="preserve">measures taken to prevent attacks and threats against and </w:t>
      </w:r>
      <w:r w:rsidR="00FE5A99">
        <w:t xml:space="preserve">to </w:t>
      </w:r>
      <w:r w:rsidR="00FE5A99" w:rsidRPr="00501D16">
        <w:t xml:space="preserve">provide protection and reparations to </w:t>
      </w:r>
      <w:r w:rsidR="00FE5A99" w:rsidRPr="000B5D15">
        <w:t>women human rights defenders.</w:t>
      </w:r>
    </w:p>
    <w:p w14:paraId="1E570CBF" w14:textId="7B7C6910" w:rsidR="00FE5A99" w:rsidRDefault="006A322D" w:rsidP="001F5565">
      <w:pPr>
        <w:pStyle w:val="SingleTxtG"/>
        <w:rPr>
          <w:b/>
          <w:bCs/>
        </w:rPr>
      </w:pPr>
      <w:r>
        <w:t>3</w:t>
      </w:r>
      <w:r w:rsidR="00FE5A99">
        <w:t>2</w:t>
      </w:r>
      <w:r w:rsidR="00FE5A99" w:rsidRPr="000B5D15">
        <w:t>.</w:t>
      </w:r>
      <w:r w:rsidR="00FE5A99" w:rsidRPr="000B5D15">
        <w:rPr>
          <w:b/>
          <w:bCs/>
        </w:rPr>
        <w:tab/>
        <w:t xml:space="preserve">The Committee urges the State party to further strengthen and enforce measures to protect women human rights defenders, women journalists, and women </w:t>
      </w:r>
      <w:r w:rsidR="00FE5A99">
        <w:rPr>
          <w:b/>
          <w:bCs/>
        </w:rPr>
        <w:t xml:space="preserve">opposition </w:t>
      </w:r>
      <w:r w:rsidR="00FE5A99" w:rsidRPr="000B5D15">
        <w:rPr>
          <w:b/>
          <w:bCs/>
        </w:rPr>
        <w:t xml:space="preserve">political </w:t>
      </w:r>
      <w:r w:rsidR="00FE5A99">
        <w:rPr>
          <w:b/>
          <w:bCs/>
        </w:rPr>
        <w:t>activists</w:t>
      </w:r>
      <w:r w:rsidR="00FE5A99" w:rsidRPr="000B5D15">
        <w:rPr>
          <w:b/>
          <w:bCs/>
        </w:rPr>
        <w:t xml:space="preserve"> from </w:t>
      </w:r>
      <w:r w:rsidR="00FE5A99">
        <w:rPr>
          <w:b/>
          <w:bCs/>
        </w:rPr>
        <w:t>harassment, intimidation and</w:t>
      </w:r>
      <w:r w:rsidR="00FE5A99" w:rsidRPr="000B5D15">
        <w:rPr>
          <w:b/>
          <w:bCs/>
        </w:rPr>
        <w:t xml:space="preserve"> reprisal</w:t>
      </w:r>
      <w:r w:rsidR="00FE5A99">
        <w:rPr>
          <w:b/>
          <w:bCs/>
        </w:rPr>
        <w:t>s, and adequately punish perpetrators of such acts, including public officials</w:t>
      </w:r>
      <w:r w:rsidR="00FE5A99" w:rsidRPr="000B5D15">
        <w:rPr>
          <w:b/>
          <w:bCs/>
        </w:rPr>
        <w:t>.</w:t>
      </w:r>
      <w:r w:rsidR="00FE5A99">
        <w:rPr>
          <w:b/>
          <w:bCs/>
        </w:rPr>
        <w:t xml:space="preserve"> It further </w:t>
      </w:r>
      <w:r w:rsidR="00FE5A99" w:rsidRPr="00894826">
        <w:rPr>
          <w:b/>
          <w:bCs/>
        </w:rPr>
        <w:t>recommends that the State party ensure an enabling environment for women’s organizations and women human rights defenders to advocate for women’s human rights and</w:t>
      </w:r>
      <w:r w:rsidR="00FE5A99">
        <w:rPr>
          <w:b/>
          <w:bCs/>
        </w:rPr>
        <w:t xml:space="preserve"> ensure their participation</w:t>
      </w:r>
      <w:r w:rsidR="00FE5A99" w:rsidRPr="00894826">
        <w:rPr>
          <w:b/>
          <w:bCs/>
        </w:rPr>
        <w:t xml:space="preserve"> in the implementation of the present recommendations and their </w:t>
      </w:r>
      <w:r w:rsidR="00FE5A99">
        <w:rPr>
          <w:b/>
          <w:bCs/>
        </w:rPr>
        <w:t xml:space="preserve">meaningful </w:t>
      </w:r>
      <w:r w:rsidR="00FE5A99" w:rsidRPr="00894826">
        <w:rPr>
          <w:b/>
          <w:bCs/>
        </w:rPr>
        <w:t>consultation in the preparation of the next periodic report</w:t>
      </w:r>
      <w:r w:rsidR="00FE5A99">
        <w:rPr>
          <w:b/>
          <w:bCs/>
        </w:rPr>
        <w:t>.</w:t>
      </w:r>
    </w:p>
    <w:p w14:paraId="44FCA789" w14:textId="77777777" w:rsidR="00CF1577" w:rsidRPr="00560A62" w:rsidRDefault="00CF1577" w:rsidP="00CF1577">
      <w:pPr>
        <w:pStyle w:val="H23G"/>
      </w:pPr>
      <w:r w:rsidRPr="00560A62">
        <w:tab/>
      </w:r>
      <w:r w:rsidRPr="00560A62">
        <w:tab/>
        <w:t>Education</w:t>
      </w:r>
    </w:p>
    <w:p w14:paraId="0C9D583B" w14:textId="2A36BE1B" w:rsidR="00FC0959" w:rsidRDefault="00817805" w:rsidP="00CF1577">
      <w:pPr>
        <w:pStyle w:val="SingleTxtG"/>
      </w:pPr>
      <w:r>
        <w:t>3</w:t>
      </w:r>
      <w:r w:rsidR="006A322D">
        <w:t>3</w:t>
      </w:r>
      <w:r w:rsidR="00CF1577" w:rsidRPr="00211BAA">
        <w:t>.</w:t>
      </w:r>
      <w:r w:rsidR="00CF1577" w:rsidRPr="00211BAA">
        <w:tab/>
        <w:t>The Committee notes with concern</w:t>
      </w:r>
      <w:r w:rsidR="00FC0959">
        <w:t>:</w:t>
      </w:r>
    </w:p>
    <w:p w14:paraId="2BB41753" w14:textId="64DD03F4" w:rsidR="00CF1577" w:rsidRDefault="00FC0959" w:rsidP="00CF1577">
      <w:pPr>
        <w:pStyle w:val="SingleTxtG"/>
      </w:pPr>
      <w:r>
        <w:tab/>
        <w:t>(a)</w:t>
      </w:r>
      <w:r>
        <w:tab/>
        <w:t>T</w:t>
      </w:r>
      <w:r w:rsidR="00CF1577" w:rsidRPr="00211BAA">
        <w:t xml:space="preserve">he </w:t>
      </w:r>
      <w:r w:rsidR="00CF1577" w:rsidRPr="00F34BDF">
        <w:t xml:space="preserve">so-called "Education Blackout" or technological gap and limited internet access for women and girls, exacerbated by the </w:t>
      </w:r>
      <w:r w:rsidR="00FD0661">
        <w:t xml:space="preserve">Covid-19 </w:t>
      </w:r>
      <w:r w:rsidR="00CF1577" w:rsidRPr="00F34BDF">
        <w:t>pandemic, which intensified existing gender inequalities in the State party, particularly for</w:t>
      </w:r>
      <w:r w:rsidR="00384EAD">
        <w:t xml:space="preserve"> rural,</w:t>
      </w:r>
      <w:r w:rsidR="00CF1577" w:rsidRPr="00F34BDF">
        <w:t xml:space="preserve"> indigenous girls, girls of African descent</w:t>
      </w:r>
      <w:r w:rsidR="00CF1577">
        <w:t xml:space="preserve">, </w:t>
      </w:r>
      <w:r w:rsidR="00305E5E">
        <w:t>low-income</w:t>
      </w:r>
      <w:r w:rsidR="00293B46">
        <w:t xml:space="preserve"> </w:t>
      </w:r>
      <w:r w:rsidR="00CF1577">
        <w:t>girls</w:t>
      </w:r>
      <w:r w:rsidR="00CF1577" w:rsidRPr="00211BAA">
        <w:t xml:space="preserve"> and women and girls with disabilities</w:t>
      </w:r>
      <w:r>
        <w:t>;</w:t>
      </w:r>
    </w:p>
    <w:p w14:paraId="3C3FE541" w14:textId="77777777" w:rsidR="00FC0959" w:rsidRPr="001C70BC" w:rsidRDefault="00FC0959" w:rsidP="00CF1577">
      <w:pPr>
        <w:pStyle w:val="SingleTxtG"/>
      </w:pPr>
      <w:r w:rsidRPr="001C70BC">
        <w:tab/>
        <w:t>(b)</w:t>
      </w:r>
      <w:r w:rsidRPr="001C70BC">
        <w:tab/>
        <w:t xml:space="preserve">Information received on </w:t>
      </w:r>
      <w:r w:rsidR="00E60ACD" w:rsidRPr="001C70BC">
        <w:t xml:space="preserve">women and girls in education institutions being subjected to sexual exploitation, sexual abuse and sexual </w:t>
      </w:r>
      <w:r w:rsidRPr="001C70BC">
        <w:t xml:space="preserve">harassment; </w:t>
      </w:r>
    </w:p>
    <w:p w14:paraId="49495BF6" w14:textId="37F64B66" w:rsidR="001C485B" w:rsidRPr="001C70BC" w:rsidRDefault="00FC0959" w:rsidP="00CF1577">
      <w:pPr>
        <w:pStyle w:val="SingleTxtG"/>
      </w:pPr>
      <w:r w:rsidRPr="001C70BC">
        <w:tab/>
        <w:t>(c)</w:t>
      </w:r>
      <w:r w:rsidRPr="001C70BC">
        <w:tab/>
      </w:r>
      <w:r w:rsidR="001C70BC">
        <w:t>T</w:t>
      </w:r>
      <w:r w:rsidR="00E60ACD" w:rsidRPr="001C70BC">
        <w:t xml:space="preserve">he high school </w:t>
      </w:r>
      <w:r w:rsidR="001C485B" w:rsidRPr="001C70BC">
        <w:t>dropout</w:t>
      </w:r>
      <w:r w:rsidR="00E60ACD" w:rsidRPr="001C70BC">
        <w:t xml:space="preserve"> rates due to </w:t>
      </w:r>
      <w:r w:rsidR="002723C8">
        <w:t>early</w:t>
      </w:r>
      <w:r w:rsidR="00E60ACD" w:rsidRPr="001C70BC">
        <w:t xml:space="preserve"> pregnancy</w:t>
      </w:r>
      <w:r w:rsidR="001C70BC" w:rsidRPr="001C70BC">
        <w:t>;</w:t>
      </w:r>
      <w:r w:rsidR="00E60ACD" w:rsidRPr="001C70BC">
        <w:t xml:space="preserve"> </w:t>
      </w:r>
    </w:p>
    <w:p w14:paraId="517F74D4" w14:textId="513DFF0E" w:rsidR="001C485B" w:rsidRPr="001C70BC" w:rsidRDefault="001C485B" w:rsidP="00CF1577">
      <w:pPr>
        <w:pStyle w:val="SingleTxtG"/>
      </w:pPr>
      <w:r w:rsidRPr="001C70BC">
        <w:tab/>
        <w:t>(d)</w:t>
      </w:r>
      <w:r w:rsidRPr="001C70BC">
        <w:tab/>
        <w:t>The continuous</w:t>
      </w:r>
      <w:r w:rsidR="00E60ACD" w:rsidRPr="001C70BC">
        <w:t xml:space="preserve"> discrimination faced by women and girls with disabilities in education institutions</w:t>
      </w:r>
      <w:r w:rsidR="001C70BC" w:rsidRPr="001C70BC">
        <w:t>;</w:t>
      </w:r>
      <w:r w:rsidR="00E60ACD" w:rsidRPr="001C70BC">
        <w:t xml:space="preserve"> </w:t>
      </w:r>
    </w:p>
    <w:p w14:paraId="40D69478" w14:textId="3C261AB4" w:rsidR="00E60ACD" w:rsidRPr="00211BAA" w:rsidRDefault="001C485B" w:rsidP="00CF1577">
      <w:pPr>
        <w:pStyle w:val="SingleTxtG"/>
      </w:pPr>
      <w:r w:rsidRPr="001C70BC">
        <w:tab/>
        <w:t>(e)</w:t>
      </w:r>
      <w:r w:rsidRPr="001C70BC">
        <w:tab/>
        <w:t xml:space="preserve">The </w:t>
      </w:r>
      <w:r w:rsidR="001C70BC" w:rsidRPr="001C70BC">
        <w:t>p</w:t>
      </w:r>
      <w:r w:rsidR="00E60ACD" w:rsidRPr="001C70BC">
        <w:t xml:space="preserve">oor implementation of the curriculum that </w:t>
      </w:r>
      <w:r w:rsidR="001C70BC" w:rsidRPr="001C70BC">
        <w:t>incorporates</w:t>
      </w:r>
      <w:r w:rsidR="00E60ACD" w:rsidRPr="001C70BC">
        <w:t xml:space="preserve"> gender equality and </w:t>
      </w:r>
      <w:r w:rsidR="003F0BDC" w:rsidRPr="001C70BC">
        <w:t>age-appropriate</w:t>
      </w:r>
      <w:r w:rsidR="00E60ACD" w:rsidRPr="001C70BC">
        <w:t xml:space="preserve"> sexual health education.</w:t>
      </w:r>
    </w:p>
    <w:p w14:paraId="5B8112E1" w14:textId="1127D7A5" w:rsidR="00CE322C" w:rsidRDefault="00CF1577" w:rsidP="00CF1577">
      <w:pPr>
        <w:pStyle w:val="SingleTxtG"/>
        <w:rPr>
          <w:b/>
          <w:bCs/>
        </w:rPr>
      </w:pPr>
      <w:r w:rsidRPr="00AC574D">
        <w:t>3</w:t>
      </w:r>
      <w:r w:rsidR="006A322D">
        <w:t>4</w:t>
      </w:r>
      <w:r w:rsidRPr="00AC574D">
        <w:t>.</w:t>
      </w:r>
      <w:r w:rsidRPr="00AC574D">
        <w:tab/>
      </w:r>
      <w:r w:rsidRPr="00AC574D">
        <w:rPr>
          <w:b/>
          <w:bCs/>
        </w:rPr>
        <w:t>Recalling its general recommendation No. 36 (2017) on the right of girls and women to education, and target 4.1 of the Sustainable Development Goals, to ensure by 2030 that all girls and boys complete free, equitable and quality primary and secondary education leading to relevant and effective learning outcomes, the Committee recommends that the State party</w:t>
      </w:r>
      <w:r w:rsidR="001C70BC">
        <w:rPr>
          <w:b/>
          <w:bCs/>
        </w:rPr>
        <w:t>:</w:t>
      </w:r>
      <w:r>
        <w:rPr>
          <w:b/>
          <w:bCs/>
        </w:rPr>
        <w:t xml:space="preserve"> </w:t>
      </w:r>
    </w:p>
    <w:p w14:paraId="36EF9BDA" w14:textId="3AFE9A50" w:rsidR="00CF1577" w:rsidRDefault="00CE322C" w:rsidP="00CF1577">
      <w:pPr>
        <w:pStyle w:val="SingleTxtG"/>
        <w:rPr>
          <w:b/>
          <w:bCs/>
        </w:rPr>
      </w:pPr>
      <w:r>
        <w:tab/>
        <w:t>(a)</w:t>
      </w:r>
      <w:r>
        <w:tab/>
      </w:r>
      <w:r>
        <w:rPr>
          <w:b/>
          <w:bCs/>
        </w:rPr>
        <w:t>T</w:t>
      </w:r>
      <w:r w:rsidR="00CF1577" w:rsidRPr="00F024ED">
        <w:rPr>
          <w:b/>
          <w:bCs/>
        </w:rPr>
        <w:t xml:space="preserve">ake measures to </w:t>
      </w:r>
      <w:r w:rsidR="00CF1577">
        <w:rPr>
          <w:b/>
          <w:bCs/>
        </w:rPr>
        <w:t>remove</w:t>
      </w:r>
      <w:r w:rsidR="00CF1577" w:rsidRPr="00F024ED">
        <w:rPr>
          <w:b/>
          <w:bCs/>
        </w:rPr>
        <w:t xml:space="preserve"> barriers to women’s access to the internet and recognize their </w:t>
      </w:r>
      <w:r w:rsidR="00CF1577">
        <w:rPr>
          <w:b/>
          <w:bCs/>
        </w:rPr>
        <w:t xml:space="preserve">equal </w:t>
      </w:r>
      <w:r w:rsidR="00CF1577" w:rsidRPr="00F024ED">
        <w:rPr>
          <w:b/>
          <w:bCs/>
        </w:rPr>
        <w:t>right to access information and telecommunications technologies in all parts of the State party</w:t>
      </w:r>
      <w:r>
        <w:rPr>
          <w:b/>
          <w:bCs/>
        </w:rPr>
        <w:t xml:space="preserve"> and </w:t>
      </w:r>
      <w:r w:rsidR="00CF1577" w:rsidRPr="00F024ED">
        <w:rPr>
          <w:b/>
          <w:bCs/>
        </w:rPr>
        <w:t>increase the number of community centres</w:t>
      </w:r>
      <w:r w:rsidR="00305E5E">
        <w:rPr>
          <w:b/>
          <w:bCs/>
        </w:rPr>
        <w:t xml:space="preserve"> with training programmes targeting </w:t>
      </w:r>
      <w:r w:rsidR="00CF1577" w:rsidRPr="00F024ED">
        <w:rPr>
          <w:b/>
          <w:bCs/>
        </w:rPr>
        <w:t xml:space="preserve">rural, </w:t>
      </w:r>
      <w:r w:rsidR="00DA435F" w:rsidRPr="00F024ED">
        <w:rPr>
          <w:b/>
          <w:bCs/>
        </w:rPr>
        <w:t>indigenous</w:t>
      </w:r>
      <w:r w:rsidR="00625BCE">
        <w:rPr>
          <w:b/>
          <w:bCs/>
        </w:rPr>
        <w:t xml:space="preserve"> and </w:t>
      </w:r>
      <w:r w:rsidR="00CF1577" w:rsidRPr="00F024ED">
        <w:rPr>
          <w:b/>
          <w:bCs/>
        </w:rPr>
        <w:t>Afro-descendant</w:t>
      </w:r>
      <w:r w:rsidR="00625BCE">
        <w:rPr>
          <w:b/>
          <w:bCs/>
        </w:rPr>
        <w:t xml:space="preserve"> girls</w:t>
      </w:r>
      <w:r w:rsidR="00CF1577" w:rsidRPr="00F024ED">
        <w:rPr>
          <w:b/>
          <w:bCs/>
        </w:rPr>
        <w:t xml:space="preserve">, </w:t>
      </w:r>
      <w:r w:rsidR="00293B46">
        <w:rPr>
          <w:b/>
          <w:bCs/>
        </w:rPr>
        <w:t>low-income</w:t>
      </w:r>
      <w:r w:rsidR="00384EAD">
        <w:rPr>
          <w:b/>
          <w:bCs/>
        </w:rPr>
        <w:t xml:space="preserve"> </w:t>
      </w:r>
      <w:r w:rsidR="00DA435F">
        <w:rPr>
          <w:b/>
          <w:bCs/>
        </w:rPr>
        <w:t xml:space="preserve">girls </w:t>
      </w:r>
      <w:r w:rsidR="00CF1577" w:rsidRPr="00F024ED">
        <w:rPr>
          <w:b/>
          <w:bCs/>
        </w:rPr>
        <w:t xml:space="preserve">and women </w:t>
      </w:r>
      <w:r w:rsidR="00DA435F">
        <w:rPr>
          <w:b/>
          <w:bCs/>
        </w:rPr>
        <w:t xml:space="preserve">and girls </w:t>
      </w:r>
      <w:r w:rsidR="00CF1577" w:rsidRPr="00F024ED">
        <w:rPr>
          <w:b/>
          <w:bCs/>
        </w:rPr>
        <w:t>with disabilities</w:t>
      </w:r>
      <w:r w:rsidR="00CF1577">
        <w:rPr>
          <w:b/>
          <w:bCs/>
        </w:rPr>
        <w:t xml:space="preserve"> in ICT and digital skills</w:t>
      </w:r>
      <w:r>
        <w:rPr>
          <w:b/>
          <w:bCs/>
        </w:rPr>
        <w:t>;</w:t>
      </w:r>
    </w:p>
    <w:p w14:paraId="5472C54E" w14:textId="496EF86B" w:rsidR="003F0BDC" w:rsidRDefault="00A91C5A" w:rsidP="00CF1577">
      <w:pPr>
        <w:pStyle w:val="SingleTxtG"/>
        <w:rPr>
          <w:b/>
          <w:bCs/>
        </w:rPr>
      </w:pPr>
      <w:r>
        <w:rPr>
          <w:b/>
          <w:bCs/>
        </w:rPr>
        <w:tab/>
      </w:r>
      <w:r w:rsidRPr="00A91C5A">
        <w:t>(b)</w:t>
      </w:r>
      <w:r>
        <w:rPr>
          <w:b/>
          <w:bCs/>
        </w:rPr>
        <w:tab/>
      </w:r>
      <w:r w:rsidRPr="00A91C5A">
        <w:rPr>
          <w:b/>
          <w:bCs/>
        </w:rPr>
        <w:t xml:space="preserve">Establish effective procedures to investigate cases of gender-based violence, including sexual abuse and the sexual harassment of girls, in school environments, prosecute and adequately punish perpetrators, including teachers and </w:t>
      </w:r>
      <w:r w:rsidRPr="00A91C5A">
        <w:rPr>
          <w:b/>
          <w:bCs/>
        </w:rPr>
        <w:lastRenderedPageBreak/>
        <w:t>school administrators, and provide victims with medical care, psychosocial counselling and rehabilitation;</w:t>
      </w:r>
    </w:p>
    <w:p w14:paraId="3B16E294" w14:textId="5E6EDF70" w:rsidR="003F0BDC" w:rsidRDefault="00AF4973" w:rsidP="003F0BDC">
      <w:pPr>
        <w:pStyle w:val="SingleTxtG"/>
        <w:rPr>
          <w:b/>
          <w:bCs/>
        </w:rPr>
      </w:pPr>
      <w:r>
        <w:rPr>
          <w:b/>
          <w:bCs/>
        </w:rPr>
        <w:tab/>
      </w:r>
      <w:r w:rsidR="003F0BDC" w:rsidRPr="003F0BDC">
        <w:t>(c)</w:t>
      </w:r>
      <w:r w:rsidR="003F0BDC" w:rsidRPr="003F0BDC">
        <w:rPr>
          <w:b/>
          <w:bCs/>
        </w:rPr>
        <w:tab/>
      </w:r>
      <w:r w:rsidR="00A36FE1" w:rsidRPr="00A36FE1">
        <w:rPr>
          <w:b/>
          <w:bCs/>
        </w:rPr>
        <w:t>Ensur</w:t>
      </w:r>
      <w:r w:rsidR="00A36FE1">
        <w:rPr>
          <w:b/>
          <w:bCs/>
        </w:rPr>
        <w:t>e</w:t>
      </w:r>
      <w:r w:rsidR="00A36FE1" w:rsidRPr="00A36FE1">
        <w:rPr>
          <w:b/>
          <w:bCs/>
        </w:rPr>
        <w:t xml:space="preserve"> the effective retention and reinsertion of pregnant girls and young mothers into the education system, including by providing affordable childcare facilities and out-of-school educational and parenting support for young mothers;</w:t>
      </w:r>
      <w:r w:rsidR="00A36FE1">
        <w:rPr>
          <w:b/>
          <w:bCs/>
        </w:rPr>
        <w:t xml:space="preserve"> </w:t>
      </w:r>
    </w:p>
    <w:p w14:paraId="5E7EBCE7" w14:textId="68FB5547" w:rsidR="00487615" w:rsidRPr="003F0BDC" w:rsidRDefault="00487615" w:rsidP="003F0BDC">
      <w:pPr>
        <w:pStyle w:val="SingleTxtG"/>
        <w:rPr>
          <w:b/>
          <w:bCs/>
        </w:rPr>
      </w:pPr>
      <w:r>
        <w:tab/>
        <w:t>(d)</w:t>
      </w:r>
      <w:r>
        <w:tab/>
      </w:r>
      <w:r w:rsidR="00D70DFE">
        <w:rPr>
          <w:b/>
          <w:bCs/>
        </w:rPr>
        <w:t>E</w:t>
      </w:r>
      <w:r w:rsidR="00D70DFE" w:rsidRPr="00D70DFE">
        <w:rPr>
          <w:b/>
          <w:bCs/>
        </w:rPr>
        <w:t xml:space="preserve">nsure that all women and girls with disabilities are able to access inclusive </w:t>
      </w:r>
      <w:r w:rsidR="00662EE6">
        <w:rPr>
          <w:b/>
          <w:bCs/>
        </w:rPr>
        <w:t xml:space="preserve">quality </w:t>
      </w:r>
      <w:r w:rsidR="00D70DFE" w:rsidRPr="00D70DFE">
        <w:rPr>
          <w:b/>
          <w:bCs/>
        </w:rPr>
        <w:t>education</w:t>
      </w:r>
      <w:r w:rsidR="00CB15E4">
        <w:rPr>
          <w:b/>
          <w:bCs/>
        </w:rPr>
        <w:t xml:space="preserve"> and d</w:t>
      </w:r>
      <w:r w:rsidR="00CB15E4" w:rsidRPr="00CB15E4">
        <w:rPr>
          <w:b/>
          <w:bCs/>
        </w:rPr>
        <w:t>evelop a national anti-bullying policy to provide safe and inclusive educational environments to women and girls</w:t>
      </w:r>
      <w:r w:rsidR="00CB15E4">
        <w:rPr>
          <w:b/>
          <w:bCs/>
        </w:rPr>
        <w:t>, including women and girls</w:t>
      </w:r>
      <w:r w:rsidR="00CB15E4" w:rsidRPr="00CB15E4">
        <w:rPr>
          <w:b/>
          <w:bCs/>
        </w:rPr>
        <w:t xml:space="preserve"> </w:t>
      </w:r>
      <w:r w:rsidR="00CB15E4">
        <w:rPr>
          <w:b/>
          <w:bCs/>
        </w:rPr>
        <w:t>with disabilities</w:t>
      </w:r>
      <w:r w:rsidR="00340282">
        <w:rPr>
          <w:b/>
          <w:bCs/>
        </w:rPr>
        <w:t>,</w:t>
      </w:r>
      <w:r w:rsidR="00CB15E4">
        <w:rPr>
          <w:b/>
          <w:bCs/>
        </w:rPr>
        <w:t xml:space="preserve"> </w:t>
      </w:r>
      <w:r w:rsidR="00CB15E4" w:rsidRPr="00CB15E4">
        <w:rPr>
          <w:b/>
          <w:bCs/>
        </w:rPr>
        <w:t>free from discrimination, harassment and violence</w:t>
      </w:r>
      <w:r w:rsidR="00CB15E4">
        <w:rPr>
          <w:b/>
          <w:bCs/>
        </w:rPr>
        <w:t>;</w:t>
      </w:r>
    </w:p>
    <w:p w14:paraId="0F1976B1" w14:textId="6FFF5118" w:rsidR="00D24FCF" w:rsidRDefault="00487615" w:rsidP="00D24FC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rPr>
          <w:rFonts w:eastAsiaTheme="minorHAnsi"/>
          <w:b/>
          <w:bCs/>
          <w:spacing w:val="4"/>
          <w:w w:val="103"/>
          <w:kern w:val="14"/>
        </w:rPr>
      </w:pPr>
      <w:r>
        <w:tab/>
      </w:r>
      <w:r w:rsidR="003F0BDC" w:rsidRPr="003F0BDC">
        <w:t>(</w:t>
      </w:r>
      <w:r w:rsidR="00832951">
        <w:t>e</w:t>
      </w:r>
      <w:r w:rsidR="003F0BDC" w:rsidRPr="003F0BDC">
        <w:t>)</w:t>
      </w:r>
      <w:r w:rsidR="003F0BDC">
        <w:tab/>
      </w:r>
      <w:r w:rsidR="00D24FCF" w:rsidRPr="00D24FCF">
        <w:rPr>
          <w:b/>
          <w:bCs/>
        </w:rPr>
        <w:t>Strengthen efforts to</w:t>
      </w:r>
      <w:r w:rsidR="00D24FCF">
        <w:t xml:space="preserve"> </w:t>
      </w:r>
      <w:r w:rsidR="00832951">
        <w:rPr>
          <w:rFonts w:eastAsiaTheme="minorHAnsi"/>
          <w:b/>
          <w:bCs/>
          <w:spacing w:val="4"/>
          <w:w w:val="103"/>
          <w:kern w:val="14"/>
        </w:rPr>
        <w:t>implement</w:t>
      </w:r>
      <w:r w:rsidR="004622CC">
        <w:rPr>
          <w:rFonts w:eastAsiaTheme="minorHAnsi"/>
          <w:b/>
          <w:bCs/>
          <w:spacing w:val="4"/>
          <w:w w:val="103"/>
          <w:kern w:val="14"/>
        </w:rPr>
        <w:t xml:space="preserve"> </w:t>
      </w:r>
      <w:r w:rsidR="00D24FCF">
        <w:rPr>
          <w:rFonts w:eastAsiaTheme="minorHAnsi"/>
          <w:b/>
          <w:bCs/>
          <w:spacing w:val="4"/>
          <w:w w:val="103"/>
          <w:kern w:val="14"/>
        </w:rPr>
        <w:t xml:space="preserve">school curricula </w:t>
      </w:r>
      <w:r w:rsidR="00D24FCF">
        <w:rPr>
          <w:b/>
          <w:lang w:val="en-US"/>
        </w:rPr>
        <w:t>t</w:t>
      </w:r>
      <w:r w:rsidR="00E35FCA">
        <w:rPr>
          <w:b/>
          <w:lang w:val="en-US"/>
        </w:rPr>
        <w:t>hat</w:t>
      </w:r>
      <w:r w:rsidR="00D24FCF">
        <w:rPr>
          <w:b/>
          <w:lang w:val="en-US"/>
        </w:rPr>
        <w:t xml:space="preserve"> provide</w:t>
      </w:r>
      <w:r w:rsidR="00E35FCA">
        <w:rPr>
          <w:b/>
          <w:lang w:val="en-US"/>
        </w:rPr>
        <w:t>s</w:t>
      </w:r>
      <w:r w:rsidR="00D24FCF">
        <w:rPr>
          <w:b/>
          <w:lang w:val="en-US"/>
        </w:rPr>
        <w:t xml:space="preserve"> mandatory universal, age-appropriate, comprehensive gender and sexuality education, addressing issues of responsible sexual behavior, with special attention to the prevention of early pregnancy and sexually transmitted diseases</w:t>
      </w:r>
      <w:r w:rsidR="00D24FCF">
        <w:rPr>
          <w:rFonts w:eastAsiaTheme="minorHAnsi"/>
          <w:b/>
          <w:bCs/>
          <w:spacing w:val="4"/>
          <w:w w:val="103"/>
          <w:kern w:val="14"/>
        </w:rPr>
        <w:t>.</w:t>
      </w:r>
    </w:p>
    <w:p w14:paraId="213AC5BA" w14:textId="77777777" w:rsidR="00CF1577" w:rsidRPr="00560A62" w:rsidRDefault="00CF1577" w:rsidP="00140BF1">
      <w:pPr>
        <w:pStyle w:val="H23G"/>
      </w:pPr>
      <w:r w:rsidRPr="00560A62">
        <w:tab/>
      </w:r>
      <w:r w:rsidRPr="00560A62">
        <w:tab/>
        <w:t xml:space="preserve">Employment </w:t>
      </w:r>
    </w:p>
    <w:p w14:paraId="66C027A4" w14:textId="40889382" w:rsidR="00CF1577" w:rsidRPr="00CF74D1" w:rsidRDefault="00CF1577" w:rsidP="00CF1577">
      <w:pPr>
        <w:pStyle w:val="SingleTxtG"/>
      </w:pPr>
      <w:r w:rsidRPr="00CF74D1">
        <w:t>3</w:t>
      </w:r>
      <w:r w:rsidR="006A322D">
        <w:t>5</w:t>
      </w:r>
      <w:r w:rsidRPr="00CF74D1">
        <w:t>.</w:t>
      </w:r>
      <w:r w:rsidRPr="00CF74D1">
        <w:tab/>
        <w:t xml:space="preserve">The Committee notes the Law for the Promotion and Development of New Enterprises. However, it notes with concern: </w:t>
      </w:r>
    </w:p>
    <w:p w14:paraId="74BDABD2" w14:textId="77777777" w:rsidR="00CF1577" w:rsidRPr="00B621B8" w:rsidRDefault="00CF1577" w:rsidP="00CF1577">
      <w:pPr>
        <w:pStyle w:val="SingleTxtG"/>
      </w:pPr>
      <w:r w:rsidRPr="00B621B8">
        <w:tab/>
        <w:t>(a)</w:t>
      </w:r>
      <w:r w:rsidRPr="00B621B8">
        <w:tab/>
        <w:t xml:space="preserve">The high unemployment and self-employment rates among women and their </w:t>
      </w:r>
      <w:r>
        <w:t>concentration</w:t>
      </w:r>
      <w:r w:rsidRPr="00B621B8">
        <w:t xml:space="preserve"> in the informal economy; </w:t>
      </w:r>
    </w:p>
    <w:p w14:paraId="2B75910D" w14:textId="77777777" w:rsidR="00CF1577" w:rsidRPr="00B621B8" w:rsidRDefault="00CF1577" w:rsidP="00CF1577">
      <w:pPr>
        <w:pStyle w:val="SingleTxtG"/>
      </w:pPr>
      <w:r w:rsidRPr="00B621B8">
        <w:tab/>
        <w:t>(b)</w:t>
      </w:r>
      <w:r w:rsidRPr="00B621B8">
        <w:tab/>
        <w:t xml:space="preserve">The limited employment opportunities for rural women, women with disabilities, indigenous, Afro-descendant </w:t>
      </w:r>
      <w:r>
        <w:t xml:space="preserve">and migrant </w:t>
      </w:r>
      <w:r w:rsidRPr="00B621B8">
        <w:t>women</w:t>
      </w:r>
      <w:r>
        <w:t>, especially in coastal areas</w:t>
      </w:r>
      <w:r w:rsidRPr="00B621B8">
        <w:t xml:space="preserve">, </w:t>
      </w:r>
      <w:r>
        <w:t>as well as</w:t>
      </w:r>
      <w:r w:rsidRPr="00B621B8">
        <w:t xml:space="preserve"> lesbian, bisexual, transgender and intersex women in the State party;</w:t>
      </w:r>
    </w:p>
    <w:p w14:paraId="584A59A4" w14:textId="77777777" w:rsidR="00CF1577" w:rsidRPr="00B621B8" w:rsidRDefault="00CF1577" w:rsidP="00CF1577">
      <w:pPr>
        <w:pStyle w:val="SingleTxtG"/>
      </w:pPr>
      <w:r w:rsidRPr="00B621B8">
        <w:tab/>
        <w:t>(c)</w:t>
      </w:r>
      <w:r w:rsidRPr="00B621B8">
        <w:tab/>
        <w:t xml:space="preserve">Reported </w:t>
      </w:r>
      <w:r>
        <w:t xml:space="preserve">sexual harassment and other forms of gender-based violence against women in the </w:t>
      </w:r>
      <w:r w:rsidRPr="00B621B8">
        <w:t xml:space="preserve">workplace. </w:t>
      </w:r>
    </w:p>
    <w:p w14:paraId="375DD214" w14:textId="528FAF67" w:rsidR="00CF1577" w:rsidRPr="00E03F49" w:rsidRDefault="00CF1577" w:rsidP="00CF1577">
      <w:pPr>
        <w:pStyle w:val="SingleTxtG"/>
        <w:rPr>
          <w:b/>
          <w:bCs/>
        </w:rPr>
      </w:pPr>
      <w:r w:rsidRPr="00B91482">
        <w:t>3</w:t>
      </w:r>
      <w:r w:rsidR="006A322D">
        <w:t>6</w:t>
      </w:r>
      <w:r w:rsidRPr="00B91482">
        <w:t>.</w:t>
      </w:r>
      <w:r w:rsidRPr="00B91482">
        <w:tab/>
      </w:r>
      <w:r w:rsidRPr="00B91482">
        <w:rPr>
          <w:b/>
          <w:bCs/>
        </w:rPr>
        <w:t>The Committee recommends that the State party</w:t>
      </w:r>
      <w:r>
        <w:t xml:space="preserve"> </w:t>
      </w:r>
      <w:r>
        <w:rPr>
          <w:b/>
          <w:bCs/>
        </w:rPr>
        <w:t>p</w:t>
      </w:r>
      <w:r w:rsidRPr="00B91482">
        <w:rPr>
          <w:b/>
          <w:bCs/>
        </w:rPr>
        <w:t>romote women’s access to formal employment, including for rural women, women with disabilities, indigenous, Afro-descendant, migrant, returnee</w:t>
      </w:r>
      <w:r>
        <w:rPr>
          <w:b/>
          <w:bCs/>
        </w:rPr>
        <w:t xml:space="preserve"> and LBTI women and r</w:t>
      </w:r>
      <w:r w:rsidRPr="00E03F49">
        <w:rPr>
          <w:b/>
          <w:bCs/>
        </w:rPr>
        <w:t>atify the Violence and Harassment Convention, 2019 (No. 190), of the International Labour Organization.</w:t>
      </w:r>
    </w:p>
    <w:p w14:paraId="25511984" w14:textId="77777777" w:rsidR="00CF1577" w:rsidRPr="00CD2317" w:rsidRDefault="00CF1577" w:rsidP="00CF1577">
      <w:pPr>
        <w:pStyle w:val="H23G"/>
      </w:pPr>
      <w:r w:rsidRPr="00560A62">
        <w:tab/>
      </w:r>
      <w:r w:rsidRPr="00560A62">
        <w:tab/>
      </w:r>
      <w:r w:rsidRPr="00CD2317">
        <w:t>Health</w:t>
      </w:r>
    </w:p>
    <w:p w14:paraId="334CA509" w14:textId="24855E93" w:rsidR="00CF1577" w:rsidRPr="00CD2317" w:rsidRDefault="00CF1577" w:rsidP="00CF1577">
      <w:pPr>
        <w:pStyle w:val="SingleTxtG"/>
      </w:pPr>
      <w:r w:rsidRPr="00CD2317">
        <w:t>3</w:t>
      </w:r>
      <w:r w:rsidR="006A322D">
        <w:t>7</w:t>
      </w:r>
      <w:r w:rsidRPr="00CD2317">
        <w:t>.</w:t>
      </w:r>
      <w:r w:rsidRPr="00CD2317">
        <w:tab/>
        <w:t xml:space="preserve">The Committee notes article 66 of the </w:t>
      </w:r>
      <w:r w:rsidR="00033525">
        <w:t xml:space="preserve">Organic </w:t>
      </w:r>
      <w:r>
        <w:rPr>
          <w:bCs/>
        </w:rPr>
        <w:t xml:space="preserve">Law </w:t>
      </w:r>
      <w:r w:rsidRPr="0025328C">
        <w:rPr>
          <w:bCs/>
        </w:rPr>
        <w:t>on Women’s Right to a Life Free from Violence</w:t>
      </w:r>
      <w:r w:rsidRPr="00CD2317">
        <w:t xml:space="preserve">, which </w:t>
      </w:r>
      <w:r>
        <w:t>criminalized</w:t>
      </w:r>
      <w:r w:rsidRPr="00CD2317">
        <w:t xml:space="preserve"> obstetric violence as a </w:t>
      </w:r>
      <w:r>
        <w:t>form</w:t>
      </w:r>
      <w:r w:rsidRPr="00CD2317">
        <w:t xml:space="preserve"> of </w:t>
      </w:r>
      <w:r>
        <w:t xml:space="preserve">gender-based </w:t>
      </w:r>
      <w:r w:rsidRPr="00CD2317">
        <w:t xml:space="preserve">violence against women, and the National Humanized Childbirth Plan. However, it </w:t>
      </w:r>
      <w:r>
        <w:t>notes with</w:t>
      </w:r>
      <w:r w:rsidRPr="00CD2317">
        <w:t xml:space="preserve"> concern:</w:t>
      </w:r>
    </w:p>
    <w:p w14:paraId="1E641A12" w14:textId="77777777" w:rsidR="00CF1577" w:rsidRPr="00F97C6C" w:rsidRDefault="00CF1577" w:rsidP="00CF1577">
      <w:pPr>
        <w:pStyle w:val="SingleTxtG"/>
      </w:pPr>
      <w:r w:rsidRPr="00F97C6C">
        <w:tab/>
        <w:t>(a)</w:t>
      </w:r>
      <w:r w:rsidRPr="00F97C6C">
        <w:tab/>
        <w:t xml:space="preserve">The criminalization of abortion in cases of rape, incest or severe foetal impairment and women’s limited access to safe abortion and post-abortion services in the State party; </w:t>
      </w:r>
    </w:p>
    <w:p w14:paraId="0148E92D" w14:textId="5520DCCA" w:rsidR="00CF1577" w:rsidRPr="00464036" w:rsidRDefault="00CF1577" w:rsidP="00CF1577">
      <w:pPr>
        <w:pStyle w:val="SingleTxtG"/>
        <w:rPr>
          <w:highlight w:val="green"/>
        </w:rPr>
      </w:pPr>
      <w:r>
        <w:tab/>
      </w:r>
      <w:r w:rsidRPr="00F729E8">
        <w:t>(</w:t>
      </w:r>
      <w:r>
        <w:t>b</w:t>
      </w:r>
      <w:r w:rsidRPr="00F729E8">
        <w:t>)</w:t>
      </w:r>
      <w:r w:rsidRPr="00F729E8">
        <w:tab/>
      </w:r>
      <w:r>
        <w:t>Reports of</w:t>
      </w:r>
      <w:r w:rsidRPr="00F729E8">
        <w:t xml:space="preserve"> </w:t>
      </w:r>
      <w:r w:rsidR="003115EA">
        <w:t xml:space="preserve">coerced </w:t>
      </w:r>
      <w:r w:rsidRPr="00F729E8">
        <w:t xml:space="preserve">sterilizations in the framework of the National Surgical Plan, </w:t>
      </w:r>
      <w:r>
        <w:t>despite their criminalization</w:t>
      </w:r>
      <w:r w:rsidRPr="00F729E8">
        <w:t xml:space="preserve"> since 2007 and the </w:t>
      </w:r>
      <w:r>
        <w:t xml:space="preserve">fact that the </w:t>
      </w:r>
      <w:r w:rsidRPr="00F729E8">
        <w:t xml:space="preserve">second partial reform of the </w:t>
      </w:r>
      <w:r w:rsidR="00E91351">
        <w:t xml:space="preserve">Organic </w:t>
      </w:r>
      <w:r>
        <w:rPr>
          <w:bCs/>
        </w:rPr>
        <w:t xml:space="preserve">Law </w:t>
      </w:r>
      <w:r w:rsidRPr="0025328C">
        <w:rPr>
          <w:bCs/>
        </w:rPr>
        <w:t>on Women’s Right to a Life Free from Violence</w:t>
      </w:r>
      <w:r w:rsidRPr="00F729E8">
        <w:t xml:space="preserve"> increased the applicable </w:t>
      </w:r>
      <w:r>
        <w:t>sentences for</w:t>
      </w:r>
      <w:r w:rsidRPr="00F729E8">
        <w:t xml:space="preserve"> anyone who intentionally deprives a woman of her reproductive capacity without providing her with adequate information or obtaining her express, voluntary, and informed consent;</w:t>
      </w:r>
    </w:p>
    <w:p w14:paraId="65262582" w14:textId="68E69BB3" w:rsidR="00CF1577" w:rsidRDefault="00CF1577" w:rsidP="00CF1577">
      <w:pPr>
        <w:pStyle w:val="SingleTxtG"/>
      </w:pPr>
      <w:r w:rsidRPr="00976CC3">
        <w:rPr>
          <w:b/>
        </w:rPr>
        <w:tab/>
      </w:r>
      <w:r w:rsidRPr="00976CC3">
        <w:t>(c)</w:t>
      </w:r>
      <w:r w:rsidRPr="00976CC3">
        <w:tab/>
      </w:r>
      <w:r>
        <w:t>Women’s and girls’ limited access to</w:t>
      </w:r>
      <w:r w:rsidRPr="00976CC3">
        <w:t xml:space="preserve"> modern contraceptives and sexual and reproductive health services</w:t>
      </w:r>
      <w:r>
        <w:t xml:space="preserve"> in the State party</w:t>
      </w:r>
      <w:r w:rsidR="00254D70">
        <w:t xml:space="preserve"> </w:t>
      </w:r>
      <w:r w:rsidR="00254D70" w:rsidRPr="00254D70">
        <w:t>and the absence of a focus on men’s role in contraception</w:t>
      </w:r>
      <w:r w:rsidRPr="00976CC3">
        <w:t xml:space="preserve">; </w:t>
      </w:r>
    </w:p>
    <w:p w14:paraId="71F015CA" w14:textId="70BA9852" w:rsidR="007433A8" w:rsidRDefault="007433A8" w:rsidP="007433A8">
      <w:pPr>
        <w:pStyle w:val="SingleTxtG"/>
      </w:pPr>
      <w:r>
        <w:tab/>
        <w:t>(d)</w:t>
      </w:r>
      <w:r>
        <w:tab/>
        <w:t>The shortage of vital medications for pregnant women, women and girls with infectious and non-communicable diseases such as cancer, malaria and tuberculosis, low income women and women in detention</w:t>
      </w:r>
      <w:r w:rsidR="00A825E8">
        <w:t>;</w:t>
      </w:r>
    </w:p>
    <w:p w14:paraId="0379D4FB" w14:textId="608D2378" w:rsidR="00CF1577" w:rsidRDefault="00CF1577" w:rsidP="00CF1577">
      <w:pPr>
        <w:pStyle w:val="SingleTxtG"/>
      </w:pPr>
      <w:r>
        <w:tab/>
      </w:r>
      <w:r w:rsidRPr="007F34F6">
        <w:t>(</w:t>
      </w:r>
      <w:r w:rsidR="007433A8">
        <w:t>e</w:t>
      </w:r>
      <w:r w:rsidRPr="007F34F6">
        <w:t>)</w:t>
      </w:r>
      <w:r w:rsidRPr="007F34F6">
        <w:tab/>
        <w:t>The shortage of antiretroviral treatment for women living with HIV/AIDS</w:t>
      </w:r>
      <w:r w:rsidR="00A825E8">
        <w:t>;</w:t>
      </w:r>
    </w:p>
    <w:p w14:paraId="1D75301F" w14:textId="2BE33E77" w:rsidR="007433A8" w:rsidRDefault="00A825E8" w:rsidP="007433A8">
      <w:pPr>
        <w:pStyle w:val="SingleTxtG"/>
      </w:pPr>
      <w:r>
        <w:tab/>
      </w:r>
      <w:r w:rsidR="007433A8">
        <w:t>(</w:t>
      </w:r>
      <w:r>
        <w:t>f</w:t>
      </w:r>
      <w:r w:rsidR="007433A8">
        <w:t>)</w:t>
      </w:r>
      <w:r w:rsidR="007433A8">
        <w:tab/>
        <w:t>High rates of maternal mortality and the effectiveness of monitoring and surveillance systems</w:t>
      </w:r>
      <w:r>
        <w:t>;</w:t>
      </w:r>
    </w:p>
    <w:p w14:paraId="2F56512E" w14:textId="0ED97477" w:rsidR="007433A8" w:rsidRPr="00976CC3" w:rsidRDefault="007433A8" w:rsidP="009C1D07">
      <w:pPr>
        <w:pStyle w:val="SingleTxtG"/>
      </w:pPr>
      <w:r>
        <w:lastRenderedPageBreak/>
        <w:tab/>
        <w:t>(</w:t>
      </w:r>
      <w:r w:rsidR="00A825E8">
        <w:t>g</w:t>
      </w:r>
      <w:r>
        <w:t>)</w:t>
      </w:r>
      <w:r>
        <w:tab/>
      </w:r>
      <w:r w:rsidR="009461F3">
        <w:t>The hazards posed by mercury contamination to women within the State party and r</w:t>
      </w:r>
      <w:r w:rsidRPr="009C72BC">
        <w:t xml:space="preserve">eports of mercury poisoning in rural areas inhabited by indigenous persons </w:t>
      </w:r>
      <w:r w:rsidR="00A825E8">
        <w:t>such as</w:t>
      </w:r>
      <w:r w:rsidRPr="009C72BC">
        <w:t xml:space="preserve"> in the Orinoco </w:t>
      </w:r>
      <w:r w:rsidR="00840207">
        <w:t xml:space="preserve">mining arc </w:t>
      </w:r>
      <w:r w:rsidRPr="009C72BC">
        <w:t>and the health impacts of this on citizens including women and children</w:t>
      </w:r>
      <w:r w:rsidR="00A825E8">
        <w:t>.</w:t>
      </w:r>
    </w:p>
    <w:p w14:paraId="73EC5D93" w14:textId="1FBADBB4" w:rsidR="00CF1577" w:rsidRPr="0088762D" w:rsidRDefault="00CF1577" w:rsidP="00CF1577">
      <w:pPr>
        <w:pStyle w:val="SingleTxtG"/>
      </w:pPr>
      <w:r w:rsidRPr="007E4B36">
        <w:t>3</w:t>
      </w:r>
      <w:r w:rsidR="006A322D">
        <w:t>8</w:t>
      </w:r>
      <w:r w:rsidRPr="007E4B36">
        <w:t>.</w:t>
      </w:r>
      <w:r w:rsidRPr="007E4B36">
        <w:rPr>
          <w:b/>
        </w:rPr>
        <w:tab/>
        <w:t>In line with its previous concluding observations (CEDAW/C/VEN/CO/7-8 para. 31), general recommendation No. 24 (1999) on women and health and targets 3.1 and 3.7 of the Sustainable</w:t>
      </w:r>
      <w:r w:rsidRPr="0088762D">
        <w:rPr>
          <w:b/>
        </w:rPr>
        <w:t xml:space="preserve"> Development Goals to reduce the global maternal mortality and ensure universal access to sexual and reproductive health-care services, the Committee recommends that the State party:</w:t>
      </w:r>
      <w:r w:rsidRPr="0088762D">
        <w:t xml:space="preserve"> </w:t>
      </w:r>
    </w:p>
    <w:p w14:paraId="4DCEB9AD" w14:textId="77777777" w:rsidR="00CF1577" w:rsidRDefault="00CF1577" w:rsidP="00CF1577">
      <w:pPr>
        <w:pStyle w:val="SingleTxtG"/>
        <w:rPr>
          <w:b/>
          <w:bCs/>
        </w:rPr>
      </w:pPr>
      <w:r w:rsidRPr="0088762D">
        <w:tab/>
        <w:t>(a)</w:t>
      </w:r>
      <w:r w:rsidRPr="0088762D">
        <w:tab/>
      </w:r>
      <w:r w:rsidRPr="0088762D">
        <w:rPr>
          <w:b/>
          <w:bCs/>
        </w:rPr>
        <w:t>Amend without delay article 432 of the Criminal Code to legalize abortion at least in cases of rape, incest</w:t>
      </w:r>
      <w:r>
        <w:rPr>
          <w:b/>
          <w:bCs/>
        </w:rPr>
        <w:t xml:space="preserve"> </w:t>
      </w:r>
      <w:r w:rsidRPr="0088762D">
        <w:rPr>
          <w:b/>
          <w:bCs/>
        </w:rPr>
        <w:t xml:space="preserve">and severe foetal impairment, </w:t>
      </w:r>
      <w:r>
        <w:rPr>
          <w:b/>
          <w:bCs/>
        </w:rPr>
        <w:t xml:space="preserve">in addition to cases of threats to the life or health of the pregnant woman, </w:t>
      </w:r>
      <w:r w:rsidRPr="0088762D">
        <w:rPr>
          <w:b/>
          <w:bCs/>
        </w:rPr>
        <w:t xml:space="preserve">decriminalize it in all other cases, and ensure that women </w:t>
      </w:r>
      <w:r>
        <w:rPr>
          <w:b/>
          <w:bCs/>
        </w:rPr>
        <w:t xml:space="preserve">and adolescent girls </w:t>
      </w:r>
      <w:r w:rsidRPr="0088762D">
        <w:rPr>
          <w:b/>
          <w:bCs/>
        </w:rPr>
        <w:t xml:space="preserve">have adequate access to safe abortion and post-abortion services; </w:t>
      </w:r>
    </w:p>
    <w:p w14:paraId="0EB603A2" w14:textId="13251AAA" w:rsidR="00CF1577" w:rsidRPr="00C131F6" w:rsidRDefault="00CF1577" w:rsidP="00CF1577">
      <w:pPr>
        <w:pStyle w:val="SingleTxtG"/>
        <w:rPr>
          <w:b/>
          <w:bCs/>
          <w:highlight w:val="magenta"/>
        </w:rPr>
      </w:pPr>
      <w:r>
        <w:tab/>
      </w:r>
      <w:bookmarkStart w:id="1" w:name="_Hlk135738733"/>
      <w:r>
        <w:t>(b)</w:t>
      </w:r>
      <w:r>
        <w:tab/>
      </w:r>
      <w:r>
        <w:rPr>
          <w:b/>
          <w:bCs/>
        </w:rPr>
        <w:t>Immediately</w:t>
      </w:r>
      <w:r w:rsidRPr="00C131F6">
        <w:rPr>
          <w:b/>
          <w:bCs/>
        </w:rPr>
        <w:t xml:space="preserve"> </w:t>
      </w:r>
      <w:r>
        <w:rPr>
          <w:b/>
          <w:bCs/>
        </w:rPr>
        <w:t xml:space="preserve">put an end to the practice of </w:t>
      </w:r>
      <w:r w:rsidR="00114B1B">
        <w:rPr>
          <w:b/>
          <w:bCs/>
        </w:rPr>
        <w:t>coer</w:t>
      </w:r>
      <w:r>
        <w:rPr>
          <w:b/>
          <w:bCs/>
        </w:rPr>
        <w:t xml:space="preserve">ced sterilizations and require </w:t>
      </w:r>
      <w:r w:rsidRPr="00C131F6">
        <w:rPr>
          <w:b/>
          <w:bCs/>
        </w:rPr>
        <w:t>a</w:t>
      </w:r>
      <w:r>
        <w:rPr>
          <w:b/>
          <w:bCs/>
        </w:rPr>
        <w:t xml:space="preserve"> woman’s </w:t>
      </w:r>
      <w:r w:rsidRPr="00C131F6">
        <w:rPr>
          <w:b/>
          <w:bCs/>
        </w:rPr>
        <w:t xml:space="preserve">free, </w:t>
      </w:r>
      <w:r>
        <w:rPr>
          <w:b/>
          <w:bCs/>
        </w:rPr>
        <w:t>prior</w:t>
      </w:r>
      <w:r w:rsidRPr="00C131F6">
        <w:rPr>
          <w:b/>
          <w:bCs/>
        </w:rPr>
        <w:t xml:space="preserve"> and inform</w:t>
      </w:r>
      <w:r>
        <w:rPr>
          <w:b/>
          <w:bCs/>
        </w:rPr>
        <w:t>ed</w:t>
      </w:r>
      <w:r w:rsidRPr="00C131F6">
        <w:rPr>
          <w:b/>
          <w:bCs/>
        </w:rPr>
        <w:t xml:space="preserve"> consent</w:t>
      </w:r>
      <w:r>
        <w:rPr>
          <w:b/>
          <w:bCs/>
        </w:rPr>
        <w:t xml:space="preserve"> to any medical intervention affecting her sexual and reproductive health and rights</w:t>
      </w:r>
      <w:r w:rsidRPr="00C131F6">
        <w:rPr>
          <w:b/>
          <w:bCs/>
        </w:rPr>
        <w:t>;</w:t>
      </w:r>
    </w:p>
    <w:bookmarkEnd w:id="1"/>
    <w:p w14:paraId="12C4AE03" w14:textId="3F34E246" w:rsidR="0070650B" w:rsidRPr="00461891" w:rsidRDefault="00CF1577" w:rsidP="0070650B">
      <w:pPr>
        <w:pStyle w:val="SingleTxtG"/>
        <w:rPr>
          <w:b/>
          <w:bCs/>
        </w:rPr>
      </w:pPr>
      <w:r w:rsidRPr="007E7390">
        <w:rPr>
          <w:bCs/>
        </w:rPr>
        <w:tab/>
        <w:t>(c)</w:t>
      </w:r>
      <w:r w:rsidRPr="007E7390">
        <w:rPr>
          <w:bCs/>
        </w:rPr>
        <w:tab/>
      </w:r>
      <w:r w:rsidRPr="007E7390">
        <w:rPr>
          <w:b/>
          <w:bCs/>
        </w:rPr>
        <w:t xml:space="preserve">Ensure that women </w:t>
      </w:r>
      <w:r>
        <w:rPr>
          <w:b/>
          <w:bCs/>
        </w:rPr>
        <w:t xml:space="preserve">and girls </w:t>
      </w:r>
      <w:r w:rsidRPr="007E7390">
        <w:rPr>
          <w:b/>
          <w:bCs/>
        </w:rPr>
        <w:t>have affordable access to sexual and reproductive health services and modern contraceptives</w:t>
      </w:r>
      <w:r w:rsidR="0070650B">
        <w:rPr>
          <w:b/>
          <w:bCs/>
        </w:rPr>
        <w:t xml:space="preserve"> and </w:t>
      </w:r>
      <w:r w:rsidR="00461891">
        <w:rPr>
          <w:b/>
          <w:bCs/>
        </w:rPr>
        <w:t xml:space="preserve">raise awareness </w:t>
      </w:r>
      <w:r w:rsidR="00461891" w:rsidRPr="00461891">
        <w:rPr>
          <w:b/>
          <w:bCs/>
        </w:rPr>
        <w:t>about</w:t>
      </w:r>
      <w:r w:rsidR="0070650B" w:rsidRPr="00461891">
        <w:rPr>
          <w:b/>
          <w:bCs/>
        </w:rPr>
        <w:t xml:space="preserve"> men’s role in contraception; </w:t>
      </w:r>
    </w:p>
    <w:p w14:paraId="77B612E6" w14:textId="44791B04" w:rsidR="00CF1577" w:rsidRDefault="00E66FA4" w:rsidP="00AC31A9">
      <w:pPr>
        <w:pStyle w:val="SingleTxtG"/>
        <w:rPr>
          <w:b/>
          <w:bCs/>
        </w:rPr>
      </w:pPr>
      <w:r>
        <w:tab/>
      </w:r>
      <w:r w:rsidRPr="008871C4">
        <w:t>(</w:t>
      </w:r>
      <w:r>
        <w:t>d</w:t>
      </w:r>
      <w:r w:rsidRPr="008871C4">
        <w:t>)</w:t>
      </w:r>
      <w:r w:rsidRPr="008871C4">
        <w:tab/>
      </w:r>
      <w:r w:rsidRPr="008B1A18">
        <w:rPr>
          <w:b/>
          <w:bCs/>
        </w:rPr>
        <w:t>Prioritise the increase</w:t>
      </w:r>
      <w:r>
        <w:rPr>
          <w:b/>
          <w:bCs/>
        </w:rPr>
        <w:t xml:space="preserve">d </w:t>
      </w:r>
      <w:r w:rsidRPr="008B1A18">
        <w:rPr>
          <w:b/>
          <w:bCs/>
        </w:rPr>
        <w:t xml:space="preserve">availability of vital medications required for pregnant women and girls, women and girls with </w:t>
      </w:r>
      <w:r>
        <w:rPr>
          <w:b/>
          <w:bCs/>
        </w:rPr>
        <w:t xml:space="preserve">serious </w:t>
      </w:r>
      <w:r w:rsidRPr="008B1A18">
        <w:rPr>
          <w:b/>
          <w:bCs/>
        </w:rPr>
        <w:t xml:space="preserve">infectious and non-communicable diseases, </w:t>
      </w:r>
      <w:r w:rsidR="008A182F" w:rsidRPr="008B1A18">
        <w:rPr>
          <w:b/>
          <w:bCs/>
        </w:rPr>
        <w:t>low-income</w:t>
      </w:r>
      <w:r w:rsidRPr="008B1A18">
        <w:rPr>
          <w:b/>
          <w:bCs/>
        </w:rPr>
        <w:t xml:space="preserve"> women and women </w:t>
      </w:r>
      <w:r>
        <w:rPr>
          <w:b/>
          <w:bCs/>
        </w:rPr>
        <w:t>in detention;</w:t>
      </w:r>
    </w:p>
    <w:p w14:paraId="1EFFF279" w14:textId="4DDCF702" w:rsidR="00CF1577" w:rsidRDefault="00CF1577" w:rsidP="00CF1577">
      <w:pPr>
        <w:pStyle w:val="SingleTxtG"/>
        <w:rPr>
          <w:b/>
          <w:bCs/>
        </w:rPr>
      </w:pPr>
      <w:r w:rsidRPr="008871C4">
        <w:tab/>
        <w:t>(</w:t>
      </w:r>
      <w:r w:rsidR="00AC31A9">
        <w:t>e</w:t>
      </w:r>
      <w:r w:rsidRPr="008871C4">
        <w:t>)</w:t>
      </w:r>
      <w:r w:rsidRPr="008871C4">
        <w:tab/>
      </w:r>
      <w:r>
        <w:rPr>
          <w:b/>
          <w:bCs/>
        </w:rPr>
        <w:t>A</w:t>
      </w:r>
      <w:r w:rsidRPr="008871C4">
        <w:rPr>
          <w:b/>
          <w:bCs/>
        </w:rPr>
        <w:t xml:space="preserve">ddress the shortage of antiretroviral </w:t>
      </w:r>
      <w:r>
        <w:rPr>
          <w:b/>
          <w:bCs/>
        </w:rPr>
        <w:t>treatment</w:t>
      </w:r>
      <w:r w:rsidRPr="008871C4">
        <w:rPr>
          <w:b/>
          <w:bCs/>
        </w:rPr>
        <w:t xml:space="preserve"> for women and girls living with HIV/AIDS, </w:t>
      </w:r>
      <w:r>
        <w:rPr>
          <w:b/>
          <w:bCs/>
        </w:rPr>
        <w:t xml:space="preserve">including through compulsory licences, </w:t>
      </w:r>
      <w:r w:rsidRPr="008871C4">
        <w:rPr>
          <w:b/>
          <w:bCs/>
        </w:rPr>
        <w:t xml:space="preserve">ensure that all women living with HIV/AIDS </w:t>
      </w:r>
      <w:r>
        <w:rPr>
          <w:b/>
          <w:bCs/>
        </w:rPr>
        <w:t>have free access to antiretroviral medicines, including pregnant women to prevent mother-to-child transmission,</w:t>
      </w:r>
      <w:r w:rsidRPr="008871C4">
        <w:rPr>
          <w:b/>
          <w:bCs/>
        </w:rPr>
        <w:t xml:space="preserve"> and expedite the adoption of the bill on HIV/AIDS</w:t>
      </w:r>
      <w:r w:rsidR="00AC31A9">
        <w:rPr>
          <w:b/>
          <w:bCs/>
        </w:rPr>
        <w:t>;</w:t>
      </w:r>
    </w:p>
    <w:p w14:paraId="0F8D9C8B" w14:textId="6A6DE760" w:rsidR="00D23600" w:rsidRDefault="00AC31A9" w:rsidP="00927158">
      <w:pPr>
        <w:pStyle w:val="SingleTxtG"/>
        <w:rPr>
          <w:b/>
          <w:bCs/>
        </w:rPr>
      </w:pPr>
      <w:r>
        <w:tab/>
        <w:t>(f)</w:t>
      </w:r>
      <w:r>
        <w:tab/>
      </w:r>
      <w:r w:rsidRPr="00AC31A9">
        <w:rPr>
          <w:b/>
          <w:bCs/>
        </w:rPr>
        <w:t xml:space="preserve">Investigate reports of and urgently institute measures to prevent the incidence of mercury poisoning in the Orinoco </w:t>
      </w:r>
      <w:r>
        <w:rPr>
          <w:b/>
          <w:bCs/>
        </w:rPr>
        <w:t xml:space="preserve">mining </w:t>
      </w:r>
      <w:r w:rsidRPr="00AC31A9">
        <w:rPr>
          <w:b/>
          <w:bCs/>
        </w:rPr>
        <w:t>arc</w:t>
      </w:r>
      <w:r w:rsidR="00F84698">
        <w:rPr>
          <w:b/>
          <w:bCs/>
        </w:rPr>
        <w:t xml:space="preserve"> and any other hazardous areas. </w:t>
      </w:r>
    </w:p>
    <w:p w14:paraId="5C05DB9B" w14:textId="66DAB50E" w:rsidR="00CF1577" w:rsidRPr="00565B55" w:rsidRDefault="00140BF1" w:rsidP="00140BF1">
      <w:pPr>
        <w:pStyle w:val="H23G"/>
      </w:pPr>
      <w:r>
        <w:tab/>
      </w:r>
      <w:r>
        <w:tab/>
      </w:r>
      <w:r w:rsidR="00CF1577" w:rsidRPr="00565B55">
        <w:t xml:space="preserve">Economic empowerment of women </w:t>
      </w:r>
    </w:p>
    <w:p w14:paraId="67C6A65E" w14:textId="5E8B3DAA" w:rsidR="00CF1577" w:rsidRDefault="00CF1577" w:rsidP="00CF1577">
      <w:pPr>
        <w:pStyle w:val="SingleTxtG"/>
      </w:pPr>
      <w:r w:rsidRPr="00565B55">
        <w:t>3</w:t>
      </w:r>
      <w:r w:rsidR="006A322D">
        <w:t>9</w:t>
      </w:r>
      <w:r w:rsidRPr="00565B55">
        <w:t>.</w:t>
      </w:r>
      <w:r w:rsidRPr="00565B55">
        <w:tab/>
      </w:r>
      <w:r w:rsidRPr="00486B12">
        <w:t xml:space="preserve">The Committee welcomes the measures taken by the State party to promote women’s economic empowerment, including </w:t>
      </w:r>
      <w:r>
        <w:t>c</w:t>
      </w:r>
      <w:r w:rsidRPr="00095EF1">
        <w:t>ash transfers,</w:t>
      </w:r>
      <w:r>
        <w:t xml:space="preserve"> the Local Supply and Production Committees Programme (CLAP), </w:t>
      </w:r>
      <w:r w:rsidRPr="00095EF1">
        <w:t>the system of Missions and Great Missions, and subsidies for public services.</w:t>
      </w:r>
      <w:r w:rsidRPr="00486B12">
        <w:t xml:space="preserve"> It nevertheless notes with concern</w:t>
      </w:r>
      <w:r>
        <w:t>:</w:t>
      </w:r>
      <w:r w:rsidRPr="00486B12">
        <w:t xml:space="preserve"> </w:t>
      </w:r>
    </w:p>
    <w:p w14:paraId="4AE954EA" w14:textId="77777777" w:rsidR="00CF1577" w:rsidRDefault="00CF1577" w:rsidP="00CF1577">
      <w:pPr>
        <w:pStyle w:val="SingleTxtG"/>
      </w:pPr>
      <w:r>
        <w:tab/>
        <w:t>(a)</w:t>
      </w:r>
      <w:r>
        <w:tab/>
        <w:t>T</w:t>
      </w:r>
      <w:r w:rsidRPr="00C546D8">
        <w:t xml:space="preserve">he challenges that persist in </w:t>
      </w:r>
      <w:r>
        <w:t>providing women and girls with economic empowerment opportunities and ensuring</w:t>
      </w:r>
      <w:r w:rsidRPr="00C546D8">
        <w:t xml:space="preserve"> </w:t>
      </w:r>
      <w:r>
        <w:t xml:space="preserve">their access to adequate </w:t>
      </w:r>
      <w:r w:rsidRPr="00741330">
        <w:t>food, water</w:t>
      </w:r>
      <w:r>
        <w:t xml:space="preserve"> and sanitation;</w:t>
      </w:r>
    </w:p>
    <w:p w14:paraId="746B7D01" w14:textId="77777777" w:rsidR="00CF1577" w:rsidRDefault="00CF1577" w:rsidP="00CF1577">
      <w:pPr>
        <w:pStyle w:val="SingleTxtG"/>
      </w:pPr>
      <w:r w:rsidRPr="00D835B2">
        <w:tab/>
        <w:t>(b)</w:t>
      </w:r>
      <w:r w:rsidRPr="00D835B2">
        <w:tab/>
      </w:r>
      <w:r>
        <w:t>That the economic crisis</w:t>
      </w:r>
      <w:r w:rsidRPr="00D835B2">
        <w:t xml:space="preserve"> </w:t>
      </w:r>
      <w:r>
        <w:t xml:space="preserve">in the State party </w:t>
      </w:r>
      <w:r w:rsidRPr="00D835B2">
        <w:t xml:space="preserve">and the resulting coping strategies </w:t>
      </w:r>
      <w:r>
        <w:t>drive</w:t>
      </w:r>
      <w:r w:rsidRPr="00D835B2">
        <w:t xml:space="preserve"> </w:t>
      </w:r>
      <w:r>
        <w:t xml:space="preserve">many </w:t>
      </w:r>
      <w:r w:rsidRPr="00D835B2">
        <w:t xml:space="preserve">women </w:t>
      </w:r>
      <w:r>
        <w:t xml:space="preserve">into </w:t>
      </w:r>
      <w:r w:rsidRPr="00D835B2">
        <w:t xml:space="preserve">economic </w:t>
      </w:r>
      <w:r>
        <w:t>dependence on abusive partners and increase their risk</w:t>
      </w:r>
      <w:r w:rsidRPr="00D835B2">
        <w:t xml:space="preserve"> of </w:t>
      </w:r>
      <w:r>
        <w:t xml:space="preserve">gender-based </w:t>
      </w:r>
      <w:r w:rsidRPr="00D835B2">
        <w:t>violence;</w:t>
      </w:r>
    </w:p>
    <w:p w14:paraId="69E7F7A9" w14:textId="142F2EF3" w:rsidR="00CF1577" w:rsidRPr="00BC5E38" w:rsidRDefault="006A322D" w:rsidP="00CF1577">
      <w:pPr>
        <w:pStyle w:val="SingleTxtG"/>
        <w:rPr>
          <w:b/>
          <w:bCs/>
        </w:rPr>
      </w:pPr>
      <w:r>
        <w:t>40</w:t>
      </w:r>
      <w:r w:rsidR="00CF1577" w:rsidRPr="003B7070">
        <w:t>.</w:t>
      </w:r>
      <w:r w:rsidR="00CF1577" w:rsidRPr="003B7070">
        <w:tab/>
      </w:r>
      <w:r w:rsidR="00CF1577" w:rsidRPr="003B7070">
        <w:rPr>
          <w:b/>
          <w:bCs/>
        </w:rPr>
        <w:t>The Committee recommends that the State party continue to strengthen</w:t>
      </w:r>
      <w:r w:rsidR="00CF1577">
        <w:rPr>
          <w:b/>
          <w:bCs/>
        </w:rPr>
        <w:t xml:space="preserve"> women’s economic empowerment</w:t>
      </w:r>
      <w:r w:rsidR="00CF1577" w:rsidRPr="00A572D4">
        <w:rPr>
          <w:b/>
          <w:bCs/>
        </w:rPr>
        <w:t xml:space="preserve">, </w:t>
      </w:r>
      <w:r w:rsidR="00CF1577">
        <w:rPr>
          <w:b/>
          <w:bCs/>
        </w:rPr>
        <w:t xml:space="preserve">by providing them with </w:t>
      </w:r>
      <w:r w:rsidR="00CF1577" w:rsidRPr="00A572D4">
        <w:rPr>
          <w:b/>
          <w:bCs/>
        </w:rPr>
        <w:t>entrepreneurship</w:t>
      </w:r>
      <w:r w:rsidR="00CF1577">
        <w:rPr>
          <w:b/>
          <w:bCs/>
        </w:rPr>
        <w:t xml:space="preserve"> opportunities</w:t>
      </w:r>
      <w:r w:rsidR="00CF1577" w:rsidRPr="00A572D4">
        <w:rPr>
          <w:b/>
          <w:bCs/>
        </w:rPr>
        <w:t xml:space="preserve">, </w:t>
      </w:r>
      <w:r w:rsidR="00CF1577">
        <w:rPr>
          <w:b/>
          <w:bCs/>
        </w:rPr>
        <w:t xml:space="preserve">low interest loans without collateral, other forms of financial credit, </w:t>
      </w:r>
      <w:r w:rsidR="00CF1577" w:rsidRPr="00A572D4">
        <w:rPr>
          <w:b/>
          <w:bCs/>
        </w:rPr>
        <w:t xml:space="preserve">cash transfers, and access to </w:t>
      </w:r>
      <w:r w:rsidR="00CF1577">
        <w:rPr>
          <w:b/>
          <w:bCs/>
        </w:rPr>
        <w:t xml:space="preserve">adequate </w:t>
      </w:r>
      <w:r w:rsidR="00CF1577" w:rsidRPr="002D2790">
        <w:rPr>
          <w:b/>
          <w:bCs/>
        </w:rPr>
        <w:t>food</w:t>
      </w:r>
      <w:r w:rsidR="00CF1577">
        <w:rPr>
          <w:b/>
          <w:bCs/>
        </w:rPr>
        <w:t>,</w:t>
      </w:r>
      <w:r w:rsidR="00CF1577" w:rsidRPr="002D2790">
        <w:rPr>
          <w:b/>
          <w:bCs/>
        </w:rPr>
        <w:t xml:space="preserve"> water</w:t>
      </w:r>
      <w:r w:rsidR="00CF1577">
        <w:rPr>
          <w:b/>
          <w:bCs/>
        </w:rPr>
        <w:t xml:space="preserve"> and sanitation</w:t>
      </w:r>
      <w:r w:rsidR="00CF1577" w:rsidRPr="002D2790">
        <w:rPr>
          <w:b/>
          <w:bCs/>
        </w:rPr>
        <w:t xml:space="preserve">, </w:t>
      </w:r>
      <w:r w:rsidR="00CF1577">
        <w:rPr>
          <w:b/>
          <w:bCs/>
        </w:rPr>
        <w:t xml:space="preserve">as well as to social </w:t>
      </w:r>
      <w:r w:rsidR="003B3779">
        <w:rPr>
          <w:b/>
          <w:bCs/>
        </w:rPr>
        <w:t>assistance</w:t>
      </w:r>
      <w:r w:rsidR="00CF1577" w:rsidRPr="00BC5E38">
        <w:rPr>
          <w:b/>
          <w:bCs/>
        </w:rPr>
        <w:t>.</w:t>
      </w:r>
    </w:p>
    <w:p w14:paraId="03150409" w14:textId="77777777" w:rsidR="00CF1577" w:rsidRPr="00560A62" w:rsidRDefault="00CF1577" w:rsidP="00CF1577">
      <w:pPr>
        <w:pStyle w:val="H23G"/>
      </w:pPr>
      <w:r w:rsidRPr="00560A62">
        <w:tab/>
      </w:r>
      <w:r w:rsidRPr="00560A62">
        <w:tab/>
        <w:t>Rural women</w:t>
      </w:r>
    </w:p>
    <w:p w14:paraId="5848877D" w14:textId="2EEAB1CC" w:rsidR="00CF1577" w:rsidRPr="0081629A" w:rsidRDefault="006A322D" w:rsidP="00CF1577">
      <w:pPr>
        <w:pStyle w:val="SingleTxtG"/>
      </w:pPr>
      <w:r>
        <w:t>41</w:t>
      </w:r>
      <w:r w:rsidR="00CF1577" w:rsidRPr="0081629A">
        <w:t>.</w:t>
      </w:r>
      <w:r w:rsidR="00CF1577" w:rsidRPr="0081629A">
        <w:tab/>
        <w:t xml:space="preserve">The Committee notes with concern: </w:t>
      </w:r>
    </w:p>
    <w:p w14:paraId="7182A56B" w14:textId="77777777" w:rsidR="00CF1577" w:rsidRPr="0081629A" w:rsidRDefault="00CF1577" w:rsidP="00CF1577">
      <w:pPr>
        <w:pStyle w:val="SingleTxtG"/>
      </w:pPr>
      <w:r w:rsidRPr="0081629A">
        <w:tab/>
        <w:t>(a)</w:t>
      </w:r>
      <w:r w:rsidRPr="0081629A">
        <w:tab/>
        <w:t>That rural women have limited access to land ownership</w:t>
      </w:r>
      <w:r>
        <w:t xml:space="preserve"> and use in the State party</w:t>
      </w:r>
      <w:r w:rsidRPr="0081629A">
        <w:t xml:space="preserve">; </w:t>
      </w:r>
    </w:p>
    <w:p w14:paraId="3C10F700" w14:textId="0F946BBA" w:rsidR="00CF1577" w:rsidRDefault="00CF1577" w:rsidP="00CF1577">
      <w:pPr>
        <w:pStyle w:val="SingleTxtG"/>
      </w:pPr>
      <w:r w:rsidRPr="0081629A">
        <w:lastRenderedPageBreak/>
        <w:tab/>
        <w:t>(b)</w:t>
      </w:r>
      <w:r w:rsidRPr="0081629A">
        <w:tab/>
        <w:t xml:space="preserve">The </w:t>
      </w:r>
      <w:r>
        <w:t>limited</w:t>
      </w:r>
      <w:r w:rsidRPr="0081629A">
        <w:t xml:space="preserve"> participation of rural women in the adoption, implementation and economic benefits of rural development projects of </w:t>
      </w:r>
      <w:r>
        <w:t xml:space="preserve">the </w:t>
      </w:r>
      <w:r w:rsidRPr="0081629A">
        <w:t xml:space="preserve">territorial councils for rural development; </w:t>
      </w:r>
    </w:p>
    <w:p w14:paraId="4BF567C8" w14:textId="544AB6F4" w:rsidR="00016ED5" w:rsidRPr="0081629A" w:rsidRDefault="00016ED5" w:rsidP="00016ED5">
      <w:pPr>
        <w:pStyle w:val="SingleTxtG"/>
      </w:pPr>
      <w:r>
        <w:tab/>
        <w:t>(c)</w:t>
      </w:r>
      <w:r>
        <w:tab/>
        <w:t>The limited access of rural women, including indigenous women to scarce medical, social and other services.</w:t>
      </w:r>
    </w:p>
    <w:p w14:paraId="71E0A206" w14:textId="7CB3AF47" w:rsidR="00CF1577" w:rsidRPr="005317A8" w:rsidRDefault="00817805" w:rsidP="00CF1577">
      <w:pPr>
        <w:pStyle w:val="SingleTxtG"/>
        <w:rPr>
          <w:b/>
          <w:bCs/>
        </w:rPr>
      </w:pPr>
      <w:r>
        <w:t>4</w:t>
      </w:r>
      <w:r w:rsidR="00285DD4">
        <w:t>2</w:t>
      </w:r>
      <w:r w:rsidR="00CF1577" w:rsidRPr="005317A8">
        <w:t>.</w:t>
      </w:r>
      <w:r w:rsidR="00CF1577" w:rsidRPr="005317A8">
        <w:tab/>
      </w:r>
      <w:r w:rsidR="00CF1577" w:rsidRPr="005317A8">
        <w:rPr>
          <w:b/>
          <w:bCs/>
        </w:rPr>
        <w:t xml:space="preserve">In line with its general recommendation No. 34 (2016) on the rights of rural women and target 5.a of the Sustainable Development Goals, to undertake reforms to give women equal rights to economic resources, as well as access to ownership and control over land and other forms of property, financial services, inheritance and natural resources, in accordance with national laws, the Committee recommends that the State party: </w:t>
      </w:r>
    </w:p>
    <w:p w14:paraId="51B4B704" w14:textId="77777777" w:rsidR="00CF1577" w:rsidRPr="009D311C" w:rsidRDefault="00CF1577" w:rsidP="00CF1577">
      <w:pPr>
        <w:pStyle w:val="SingleTxtG"/>
        <w:rPr>
          <w:b/>
          <w:bCs/>
        </w:rPr>
      </w:pPr>
      <w:r w:rsidRPr="009D311C">
        <w:rPr>
          <w:b/>
          <w:bCs/>
        </w:rPr>
        <w:tab/>
      </w:r>
      <w:r w:rsidRPr="009D311C">
        <w:rPr>
          <w:bCs/>
        </w:rPr>
        <w:t>(a)</w:t>
      </w:r>
      <w:r w:rsidRPr="009D311C">
        <w:rPr>
          <w:b/>
          <w:bCs/>
        </w:rPr>
        <w:tab/>
        <w:t>Ensure that rural women have equal access as men to land ownership</w:t>
      </w:r>
      <w:r>
        <w:rPr>
          <w:b/>
          <w:bCs/>
        </w:rPr>
        <w:t xml:space="preserve"> and use</w:t>
      </w:r>
      <w:r w:rsidRPr="009D311C">
        <w:rPr>
          <w:b/>
          <w:bCs/>
        </w:rPr>
        <w:t xml:space="preserve">, including </w:t>
      </w:r>
      <w:r>
        <w:rPr>
          <w:b/>
          <w:bCs/>
        </w:rPr>
        <w:t>through</w:t>
      </w:r>
      <w:r w:rsidRPr="009D311C">
        <w:rPr>
          <w:b/>
          <w:bCs/>
        </w:rPr>
        <w:t xml:space="preserve"> </w:t>
      </w:r>
      <w:r>
        <w:rPr>
          <w:b/>
          <w:bCs/>
        </w:rPr>
        <w:t xml:space="preserve">awareness raising campaigns to </w:t>
      </w:r>
      <w:r w:rsidRPr="009D311C">
        <w:rPr>
          <w:b/>
          <w:bCs/>
        </w:rPr>
        <w:t>dismantl</w:t>
      </w:r>
      <w:r>
        <w:rPr>
          <w:b/>
          <w:bCs/>
        </w:rPr>
        <w:t>e</w:t>
      </w:r>
      <w:r w:rsidRPr="009D311C">
        <w:rPr>
          <w:b/>
          <w:bCs/>
        </w:rPr>
        <w:t xml:space="preserve"> patriarchal attitudes and gender stereotypes that are prevalent in rural areas; </w:t>
      </w:r>
    </w:p>
    <w:p w14:paraId="1CDDF197" w14:textId="75B5873F" w:rsidR="00CF1577" w:rsidRDefault="00CF1577" w:rsidP="00CF1577">
      <w:pPr>
        <w:pStyle w:val="SingleTxtG"/>
        <w:rPr>
          <w:b/>
          <w:bCs/>
        </w:rPr>
      </w:pPr>
      <w:r w:rsidRPr="009D311C">
        <w:tab/>
        <w:t>(b)</w:t>
      </w:r>
      <w:r w:rsidRPr="009D311C">
        <w:tab/>
      </w:r>
      <w:r w:rsidRPr="009D311C">
        <w:rPr>
          <w:b/>
          <w:bCs/>
        </w:rPr>
        <w:t xml:space="preserve">Ensure rural women’s effective participation in the adoption, implementation and economic benefits </w:t>
      </w:r>
      <w:r>
        <w:rPr>
          <w:b/>
          <w:bCs/>
        </w:rPr>
        <w:t xml:space="preserve">of </w:t>
      </w:r>
      <w:r w:rsidRPr="00AD674B">
        <w:rPr>
          <w:b/>
          <w:bCs/>
        </w:rPr>
        <w:t xml:space="preserve">rural development projects </w:t>
      </w:r>
      <w:r w:rsidRPr="009D311C">
        <w:rPr>
          <w:b/>
          <w:bCs/>
        </w:rPr>
        <w:t>and in territorial governance structures, especially at decision-making level</w:t>
      </w:r>
      <w:r>
        <w:rPr>
          <w:b/>
          <w:bCs/>
        </w:rPr>
        <w:t>s</w:t>
      </w:r>
      <w:r w:rsidRPr="009D311C">
        <w:rPr>
          <w:b/>
          <w:bCs/>
        </w:rPr>
        <w:t xml:space="preserve">; </w:t>
      </w:r>
    </w:p>
    <w:p w14:paraId="6D3E31FC" w14:textId="2A981410" w:rsidR="00016ED5" w:rsidRPr="00016ED5" w:rsidRDefault="00016ED5" w:rsidP="00016ED5">
      <w:pPr>
        <w:pStyle w:val="SingleTxtG"/>
        <w:rPr>
          <w:b/>
          <w:bCs/>
        </w:rPr>
      </w:pPr>
      <w:r>
        <w:tab/>
        <w:t>(c)</w:t>
      </w:r>
      <w:r>
        <w:tab/>
      </w:r>
      <w:r w:rsidRPr="00016ED5">
        <w:rPr>
          <w:b/>
          <w:bCs/>
        </w:rPr>
        <w:t>Ensure that rural women, especially those in remote areas, have access to the medical, social and other services to which they are entitled.</w:t>
      </w:r>
    </w:p>
    <w:p w14:paraId="16E90B2B" w14:textId="3CCFDB24" w:rsidR="00CF1577" w:rsidRPr="00B22BF0" w:rsidRDefault="005133ED" w:rsidP="00B22BF0">
      <w:pPr>
        <w:pStyle w:val="H23G"/>
      </w:pPr>
      <w:r>
        <w:tab/>
      </w:r>
      <w:r>
        <w:tab/>
      </w:r>
      <w:r w:rsidR="00CF1577">
        <w:t>Disadvantaged groups of women</w:t>
      </w:r>
    </w:p>
    <w:p w14:paraId="055E2453" w14:textId="77777777" w:rsidR="00CF1577" w:rsidRPr="007E67BD" w:rsidRDefault="00CF1577" w:rsidP="005133ED">
      <w:pPr>
        <w:pStyle w:val="H4G"/>
        <w:rPr>
          <w:highlight w:val="green"/>
          <w:lang w:val="en-US"/>
        </w:rPr>
      </w:pPr>
      <w:r w:rsidRPr="00560A62">
        <w:rPr>
          <w:lang w:val="en-US"/>
        </w:rPr>
        <w:tab/>
      </w:r>
      <w:r w:rsidRPr="00560A62">
        <w:rPr>
          <w:lang w:val="en-US"/>
        </w:rPr>
        <w:tab/>
      </w:r>
      <w:r w:rsidRPr="007E67BD">
        <w:rPr>
          <w:lang w:val="en-US"/>
        </w:rPr>
        <w:t xml:space="preserve">Indigenous women and women of African descent </w:t>
      </w:r>
    </w:p>
    <w:p w14:paraId="07A4445F" w14:textId="60E8CAB3" w:rsidR="00CF1577" w:rsidRPr="00357139" w:rsidRDefault="00CF1577" w:rsidP="00CF1577">
      <w:pPr>
        <w:pStyle w:val="SingleTxtG"/>
        <w:rPr>
          <w:highlight w:val="green"/>
        </w:rPr>
      </w:pPr>
      <w:r>
        <w:t>4</w:t>
      </w:r>
      <w:r w:rsidR="00817805">
        <w:t>3</w:t>
      </w:r>
      <w:r w:rsidRPr="0035195D">
        <w:t>.</w:t>
      </w:r>
      <w:r w:rsidRPr="0035195D">
        <w:tab/>
        <w:t>The Committee notes the</w:t>
      </w:r>
      <w:r w:rsidRPr="00682BDF">
        <w:t xml:space="preserve"> Apacuana Program</w:t>
      </w:r>
      <w:r>
        <w:t xml:space="preserve">me, </w:t>
      </w:r>
      <w:r w:rsidRPr="00682BDF">
        <w:t xml:space="preserve">designed in 2017 by INAMUJER for the </w:t>
      </w:r>
      <w:r>
        <w:t>social inclusion</w:t>
      </w:r>
      <w:r w:rsidRPr="00682BDF">
        <w:t xml:space="preserve"> of indigenous women from an ethnic and gender perspective.</w:t>
      </w:r>
      <w:r>
        <w:t xml:space="preserve"> </w:t>
      </w:r>
      <w:r w:rsidRPr="0035195D">
        <w:t>However, it notes with concern</w:t>
      </w:r>
      <w:r>
        <w:t xml:space="preserve"> c</w:t>
      </w:r>
      <w:r w:rsidRPr="0035195D">
        <w:t xml:space="preserve">ases of forced evictions of indigenous women and women of African descent from lands traditionally occupied or used by them and the </w:t>
      </w:r>
      <w:r>
        <w:t xml:space="preserve">use </w:t>
      </w:r>
      <w:r w:rsidRPr="0035195D">
        <w:t xml:space="preserve">of </w:t>
      </w:r>
      <w:r>
        <w:t>those</w:t>
      </w:r>
      <w:r w:rsidRPr="0035195D">
        <w:t xml:space="preserve"> lands by private non-State actors</w:t>
      </w:r>
      <w:r>
        <w:t>.</w:t>
      </w:r>
    </w:p>
    <w:p w14:paraId="43DF972D" w14:textId="09AB826C" w:rsidR="00CF1577" w:rsidRPr="007C45AE" w:rsidRDefault="00CF1577" w:rsidP="00CF1577">
      <w:pPr>
        <w:pStyle w:val="SingleTxtG"/>
        <w:rPr>
          <w:b/>
          <w:bCs/>
        </w:rPr>
      </w:pPr>
      <w:r>
        <w:t>4</w:t>
      </w:r>
      <w:r w:rsidR="00817805">
        <w:t>4</w:t>
      </w:r>
      <w:r w:rsidRPr="007C45AE">
        <w:t>.</w:t>
      </w:r>
      <w:r w:rsidRPr="007C45AE">
        <w:tab/>
      </w:r>
      <w:r>
        <w:rPr>
          <w:b/>
          <w:bCs/>
        </w:rPr>
        <w:t>With reference to its general recommendation No. 39 (2022) on</w:t>
      </w:r>
      <w:r w:rsidRPr="00ED0F04">
        <w:t xml:space="preserve"> </w:t>
      </w:r>
      <w:r w:rsidR="00EB1BBE" w:rsidRPr="00ED0F04">
        <w:rPr>
          <w:b/>
          <w:bCs/>
        </w:rPr>
        <w:t>Indigenous</w:t>
      </w:r>
      <w:r w:rsidRPr="00ED0F04">
        <w:rPr>
          <w:b/>
          <w:bCs/>
        </w:rPr>
        <w:t xml:space="preserve"> women and girls</w:t>
      </w:r>
      <w:r>
        <w:rPr>
          <w:b/>
          <w:bCs/>
        </w:rPr>
        <w:t>, the</w:t>
      </w:r>
      <w:r w:rsidRPr="007C45AE">
        <w:rPr>
          <w:b/>
          <w:bCs/>
        </w:rPr>
        <w:t xml:space="preserve"> Committee recommends that the State party: </w:t>
      </w:r>
    </w:p>
    <w:p w14:paraId="73B768B2" w14:textId="46FC9F2F" w:rsidR="00CF1577" w:rsidRPr="007C45AE" w:rsidRDefault="00CF1577" w:rsidP="00CF1577">
      <w:pPr>
        <w:pStyle w:val="SingleTxtG"/>
        <w:rPr>
          <w:b/>
          <w:bCs/>
        </w:rPr>
      </w:pPr>
      <w:r w:rsidRPr="007C45AE">
        <w:tab/>
        <w:t>(a)</w:t>
      </w:r>
      <w:r w:rsidRPr="007C45AE">
        <w:tab/>
      </w:r>
      <w:r w:rsidR="00A65A4E">
        <w:rPr>
          <w:b/>
          <w:bCs/>
        </w:rPr>
        <w:t>P</w:t>
      </w:r>
      <w:r>
        <w:rPr>
          <w:b/>
          <w:bCs/>
        </w:rPr>
        <w:t>rotect</w:t>
      </w:r>
      <w:r w:rsidRPr="007C45AE">
        <w:rPr>
          <w:b/>
          <w:bCs/>
        </w:rPr>
        <w:t xml:space="preserve"> indigenous women and women of African descent from </w:t>
      </w:r>
      <w:r>
        <w:rPr>
          <w:b/>
          <w:bCs/>
        </w:rPr>
        <w:t xml:space="preserve">land occupation and eviction from </w:t>
      </w:r>
      <w:r w:rsidRPr="007C45AE">
        <w:rPr>
          <w:b/>
          <w:bCs/>
        </w:rPr>
        <w:t xml:space="preserve">lands traditionally occupied or used by them, strengthen legal and procedural safeguards </w:t>
      </w:r>
      <w:r>
        <w:rPr>
          <w:b/>
          <w:bCs/>
        </w:rPr>
        <w:t>against forced evictions,</w:t>
      </w:r>
      <w:r w:rsidRPr="007C45AE">
        <w:rPr>
          <w:b/>
          <w:bCs/>
        </w:rPr>
        <w:t xml:space="preserve"> and ensure </w:t>
      </w:r>
      <w:r>
        <w:rPr>
          <w:b/>
          <w:bCs/>
        </w:rPr>
        <w:t xml:space="preserve">benefit-sharing and </w:t>
      </w:r>
      <w:r w:rsidRPr="007C45AE">
        <w:rPr>
          <w:b/>
          <w:bCs/>
        </w:rPr>
        <w:t xml:space="preserve">their meaningful participation in decision-making processes regarding the use of traditional indigenous lands; </w:t>
      </w:r>
    </w:p>
    <w:p w14:paraId="5E385C37" w14:textId="3B65B37F" w:rsidR="00CF1577" w:rsidRPr="007C45AE" w:rsidRDefault="00CF1577" w:rsidP="00CF1577">
      <w:pPr>
        <w:pStyle w:val="SingleTxtG"/>
        <w:rPr>
          <w:b/>
        </w:rPr>
      </w:pPr>
      <w:r w:rsidRPr="007C45AE">
        <w:tab/>
        <w:t>(b)</w:t>
      </w:r>
      <w:r w:rsidRPr="007C45AE">
        <w:tab/>
      </w:r>
      <w:r w:rsidRPr="007C45AE">
        <w:rPr>
          <w:b/>
        </w:rPr>
        <w:t xml:space="preserve">Investigate all forms of gender-based violence against indigenous women, including forced evictions </w:t>
      </w:r>
      <w:r>
        <w:rPr>
          <w:b/>
        </w:rPr>
        <w:t xml:space="preserve">from </w:t>
      </w:r>
      <w:r w:rsidRPr="007C45AE">
        <w:rPr>
          <w:b/>
        </w:rPr>
        <w:t xml:space="preserve">and </w:t>
      </w:r>
      <w:r>
        <w:rPr>
          <w:b/>
        </w:rPr>
        <w:t xml:space="preserve">illegal occupation </w:t>
      </w:r>
      <w:r w:rsidRPr="007C45AE">
        <w:rPr>
          <w:b/>
        </w:rPr>
        <w:t xml:space="preserve">of </w:t>
      </w:r>
      <w:r>
        <w:rPr>
          <w:b/>
        </w:rPr>
        <w:t xml:space="preserve">their </w:t>
      </w:r>
      <w:r w:rsidRPr="007C45AE">
        <w:rPr>
          <w:b/>
        </w:rPr>
        <w:t xml:space="preserve">lands, prosecute and adequately punish perpetrators and provide redress for the </w:t>
      </w:r>
      <w:r>
        <w:rPr>
          <w:b/>
        </w:rPr>
        <w:t>material and immaterial harm</w:t>
      </w:r>
      <w:r w:rsidRPr="007C45AE">
        <w:rPr>
          <w:b/>
        </w:rPr>
        <w:t xml:space="preserve"> suffered by </w:t>
      </w:r>
      <w:r>
        <w:rPr>
          <w:b/>
        </w:rPr>
        <w:t xml:space="preserve">the </w:t>
      </w:r>
      <w:r w:rsidRPr="007C45AE">
        <w:rPr>
          <w:b/>
        </w:rPr>
        <w:t>indigenous women</w:t>
      </w:r>
      <w:r>
        <w:rPr>
          <w:b/>
        </w:rPr>
        <w:t xml:space="preserve"> concerned</w:t>
      </w:r>
      <w:r w:rsidR="005133ED">
        <w:rPr>
          <w:b/>
        </w:rPr>
        <w:t>.</w:t>
      </w:r>
    </w:p>
    <w:p w14:paraId="33368505" w14:textId="77777777" w:rsidR="00CF1577" w:rsidRPr="00261AA2" w:rsidRDefault="00CF1577" w:rsidP="005133ED">
      <w:pPr>
        <w:pStyle w:val="H4G"/>
        <w:rPr>
          <w:lang w:val="en-US"/>
        </w:rPr>
      </w:pPr>
      <w:r w:rsidRPr="00560A62">
        <w:rPr>
          <w:lang w:val="en-US"/>
        </w:rPr>
        <w:tab/>
      </w:r>
      <w:r w:rsidRPr="00560A62">
        <w:rPr>
          <w:lang w:val="en-US"/>
        </w:rPr>
        <w:tab/>
      </w:r>
      <w:r w:rsidRPr="00261AA2">
        <w:rPr>
          <w:lang w:val="en-US"/>
        </w:rPr>
        <w:t xml:space="preserve">Migrant, refugee and asylum-seeking women </w:t>
      </w:r>
    </w:p>
    <w:p w14:paraId="4D99DEE4" w14:textId="73E377A1" w:rsidR="00CF1577" w:rsidRPr="00A1648F" w:rsidRDefault="00CF1577" w:rsidP="00CF1577">
      <w:pPr>
        <w:pStyle w:val="SingleTxtG"/>
      </w:pPr>
      <w:r>
        <w:t>4</w:t>
      </w:r>
      <w:r w:rsidR="00817805">
        <w:t>5</w:t>
      </w:r>
      <w:r w:rsidRPr="00A1648F">
        <w:t>.</w:t>
      </w:r>
      <w:r w:rsidRPr="00A1648F">
        <w:tab/>
        <w:t xml:space="preserve">The Committee notes with concern: </w:t>
      </w:r>
    </w:p>
    <w:p w14:paraId="2308B502" w14:textId="77777777" w:rsidR="00CF1577" w:rsidRDefault="00CF1577" w:rsidP="00CF1577">
      <w:pPr>
        <w:pStyle w:val="SingleTxtG"/>
      </w:pPr>
      <w:r w:rsidRPr="00A1648F">
        <w:tab/>
        <w:t>(a)</w:t>
      </w:r>
      <w:r w:rsidRPr="00A1648F">
        <w:tab/>
        <w:t xml:space="preserve">That migrant, refugee and asylum-seeking women and girls face intersecting forms of discrimination and </w:t>
      </w:r>
      <w:r>
        <w:t>disproportionate levels of gender-based violence</w:t>
      </w:r>
      <w:r w:rsidRPr="00A1648F">
        <w:t>, particularly in border</w:t>
      </w:r>
      <w:r>
        <w:t>, tourist and mining</w:t>
      </w:r>
      <w:r w:rsidRPr="00A1648F">
        <w:t xml:space="preserve"> areas</w:t>
      </w:r>
      <w:r>
        <w:t>, and that undocumented migrant women are exposed to a high risk of sexual exploitation, forced labour and recruitment by human trafficking networks;</w:t>
      </w:r>
    </w:p>
    <w:p w14:paraId="2014E1F3" w14:textId="10EE667F" w:rsidR="00CF1577" w:rsidRPr="008A6B8E" w:rsidRDefault="00CF1577" w:rsidP="00CF1577">
      <w:pPr>
        <w:pStyle w:val="SingleTxtG"/>
        <w:rPr>
          <w:highlight w:val="green"/>
        </w:rPr>
      </w:pPr>
      <w:r>
        <w:tab/>
        <w:t>(b)</w:t>
      </w:r>
      <w:r>
        <w:tab/>
        <w:t>The cumbersome process and onerous fees for recognised refugees to obtain documentation and the centralization of the refugee documentation process in Caracas, further increasing the costs, risks of detention, extorsion and gender-based violence during travel for refugee women in the State party</w:t>
      </w:r>
      <w:r w:rsidR="005133ED">
        <w:t>.</w:t>
      </w:r>
    </w:p>
    <w:p w14:paraId="5C2CE10C" w14:textId="2F366E4B" w:rsidR="00CF1577" w:rsidRPr="00BF7C83" w:rsidRDefault="00CF1577" w:rsidP="00CF1577">
      <w:pPr>
        <w:pStyle w:val="SingleTxtG"/>
        <w:rPr>
          <w:b/>
          <w:bCs/>
        </w:rPr>
      </w:pPr>
      <w:r w:rsidRPr="00BF7C83">
        <w:t>4</w:t>
      </w:r>
      <w:r w:rsidR="00817805">
        <w:t>6</w:t>
      </w:r>
      <w:r w:rsidRPr="00BF7C83">
        <w:t>.</w:t>
      </w:r>
      <w:r w:rsidRPr="00BF7C83">
        <w:tab/>
      </w:r>
      <w:r w:rsidRPr="00BF7C83">
        <w:rPr>
          <w:b/>
        </w:rPr>
        <w:t xml:space="preserve">In line with the Committee’s general recommendations </w:t>
      </w:r>
      <w:r w:rsidRPr="00BF7C83">
        <w:rPr>
          <w:b/>
          <w:bCs/>
        </w:rPr>
        <w:t>No. 26 (2008) on women migrant workers</w:t>
      </w:r>
      <w:r w:rsidRPr="00BF7C83">
        <w:rPr>
          <w:b/>
        </w:rPr>
        <w:t xml:space="preserve"> and No. 32 (2014) on the gender-related dimensions of refugee status, </w:t>
      </w:r>
      <w:r w:rsidRPr="00BF7C83">
        <w:rPr>
          <w:b/>
        </w:rPr>
        <w:lastRenderedPageBreak/>
        <w:t xml:space="preserve">asylum, nationality and statelessness of women, </w:t>
      </w:r>
      <w:r w:rsidRPr="00BF7C83">
        <w:rPr>
          <w:b/>
          <w:bCs/>
        </w:rPr>
        <w:t xml:space="preserve">the Committee recommends that the State party: </w:t>
      </w:r>
    </w:p>
    <w:p w14:paraId="40C264EC" w14:textId="77777777" w:rsidR="00CF1577" w:rsidRPr="00F77235" w:rsidRDefault="00CF1577" w:rsidP="00CF1577">
      <w:pPr>
        <w:pStyle w:val="SingleTxtG"/>
        <w:rPr>
          <w:b/>
          <w:bCs/>
        </w:rPr>
      </w:pPr>
      <w:r w:rsidRPr="007066B8">
        <w:tab/>
        <w:t>(a)</w:t>
      </w:r>
      <w:r w:rsidRPr="003A314E">
        <w:rPr>
          <w:b/>
          <w:bCs/>
        </w:rPr>
        <w:tab/>
      </w:r>
      <w:r>
        <w:rPr>
          <w:b/>
          <w:bCs/>
        </w:rPr>
        <w:t>Address intersecting forms of discrimination</w:t>
      </w:r>
      <w:r w:rsidRPr="003A314E">
        <w:rPr>
          <w:b/>
          <w:bCs/>
        </w:rPr>
        <w:t xml:space="preserve"> </w:t>
      </w:r>
      <w:r>
        <w:rPr>
          <w:b/>
          <w:bCs/>
        </w:rPr>
        <w:t>against migrant, refugee and asylum-seeking women, prevent and protect them from gender-based violence</w:t>
      </w:r>
      <w:r w:rsidRPr="003A314E">
        <w:rPr>
          <w:b/>
          <w:bCs/>
        </w:rPr>
        <w:t>,</w:t>
      </w:r>
      <w:r>
        <w:rPr>
          <w:b/>
          <w:bCs/>
        </w:rPr>
        <w:t xml:space="preserve"> particularly in border, tourist and mining areas, and adequately punish perpetrators;</w:t>
      </w:r>
    </w:p>
    <w:p w14:paraId="7CA68A39" w14:textId="77777777" w:rsidR="00CF1577" w:rsidRPr="00641F1F" w:rsidRDefault="00CF1577" w:rsidP="00CF1577">
      <w:pPr>
        <w:pStyle w:val="SingleTxtG"/>
        <w:rPr>
          <w:b/>
          <w:bCs/>
        </w:rPr>
      </w:pPr>
      <w:r w:rsidRPr="00641F1F">
        <w:tab/>
      </w:r>
      <w:r w:rsidRPr="004904A5">
        <w:t>(b)</w:t>
      </w:r>
      <w:r w:rsidRPr="004904A5">
        <w:tab/>
      </w:r>
      <w:r>
        <w:rPr>
          <w:b/>
          <w:bCs/>
        </w:rPr>
        <w:t>E</w:t>
      </w:r>
      <w:r w:rsidRPr="004904A5">
        <w:rPr>
          <w:b/>
          <w:bCs/>
        </w:rPr>
        <w:t xml:space="preserve">nsure </w:t>
      </w:r>
      <w:r>
        <w:rPr>
          <w:b/>
          <w:bCs/>
        </w:rPr>
        <w:t xml:space="preserve">affordable </w:t>
      </w:r>
      <w:r w:rsidRPr="004904A5">
        <w:rPr>
          <w:b/>
          <w:bCs/>
        </w:rPr>
        <w:t xml:space="preserve">access to </w:t>
      </w:r>
      <w:r>
        <w:rPr>
          <w:b/>
          <w:bCs/>
        </w:rPr>
        <w:t>documentation for recognized refugee women</w:t>
      </w:r>
      <w:r w:rsidRPr="004904A5">
        <w:rPr>
          <w:b/>
          <w:bCs/>
        </w:rPr>
        <w:t xml:space="preserve">, in a decentralized manner, with simple administrative procedures </w:t>
      </w:r>
      <w:r>
        <w:rPr>
          <w:b/>
          <w:bCs/>
        </w:rPr>
        <w:t xml:space="preserve">and reduced fees, </w:t>
      </w:r>
      <w:r w:rsidRPr="004904A5">
        <w:rPr>
          <w:b/>
          <w:bCs/>
        </w:rPr>
        <w:t>to ensure that</w:t>
      </w:r>
      <w:r>
        <w:rPr>
          <w:b/>
          <w:bCs/>
        </w:rPr>
        <w:t xml:space="preserve"> they and their children</w:t>
      </w:r>
      <w:r w:rsidRPr="004904A5">
        <w:rPr>
          <w:b/>
          <w:bCs/>
        </w:rPr>
        <w:t xml:space="preserve"> have </w:t>
      </w:r>
      <w:r>
        <w:rPr>
          <w:b/>
          <w:bCs/>
        </w:rPr>
        <w:t xml:space="preserve">adequate </w:t>
      </w:r>
      <w:r w:rsidRPr="004904A5">
        <w:rPr>
          <w:b/>
          <w:bCs/>
        </w:rPr>
        <w:t>access to education, employment, health care, housing and social benefits</w:t>
      </w:r>
      <w:r>
        <w:rPr>
          <w:b/>
          <w:bCs/>
        </w:rPr>
        <w:t>.</w:t>
      </w:r>
    </w:p>
    <w:p w14:paraId="1C119A68" w14:textId="77777777" w:rsidR="00CF1577" w:rsidRPr="00261AA2" w:rsidRDefault="00CF1577" w:rsidP="00213BE9">
      <w:pPr>
        <w:pStyle w:val="H4G"/>
        <w:rPr>
          <w:lang w:val="en-US"/>
        </w:rPr>
      </w:pPr>
      <w:r w:rsidRPr="008C4AF4">
        <w:tab/>
      </w:r>
      <w:r w:rsidRPr="008C4AF4">
        <w:tab/>
      </w:r>
      <w:r w:rsidRPr="00261AA2">
        <w:rPr>
          <w:lang w:val="en-US"/>
        </w:rPr>
        <w:t xml:space="preserve">LBTI women </w:t>
      </w:r>
    </w:p>
    <w:p w14:paraId="6A5D3842" w14:textId="54810C76" w:rsidR="00CF1577" w:rsidRPr="009A6362" w:rsidRDefault="00CF1577" w:rsidP="00CF1577">
      <w:pPr>
        <w:pStyle w:val="SingleTxtG"/>
        <w:rPr>
          <w:b/>
        </w:rPr>
      </w:pPr>
      <w:r w:rsidRPr="009A6362">
        <w:t>4</w:t>
      </w:r>
      <w:r w:rsidR="00817805">
        <w:t>7</w:t>
      </w:r>
      <w:r w:rsidRPr="009A6362">
        <w:t>.</w:t>
      </w:r>
      <w:r w:rsidRPr="009A6362">
        <w:tab/>
        <w:t xml:space="preserve">The Committee notes the steps taken by the State party to raise awareness among public officials of the rights of lesbian, bisexual, transgender and intersex women. However, it notes with concern that LBTI women continue to face high levels of gender-based violence, </w:t>
      </w:r>
      <w:r>
        <w:t xml:space="preserve">intersecting forms of </w:t>
      </w:r>
      <w:r w:rsidRPr="009A6362">
        <w:t>discrimination and stigmatization in the State party.</w:t>
      </w:r>
    </w:p>
    <w:p w14:paraId="154429D3" w14:textId="148058AF" w:rsidR="00CF1577" w:rsidRPr="009A6362" w:rsidRDefault="00CF1577" w:rsidP="00CF1577">
      <w:pPr>
        <w:pStyle w:val="SingleTxtG"/>
        <w:rPr>
          <w:b/>
        </w:rPr>
      </w:pPr>
      <w:r w:rsidRPr="009A6362">
        <w:t>4</w:t>
      </w:r>
      <w:r w:rsidR="00817805">
        <w:t>8</w:t>
      </w:r>
      <w:r w:rsidRPr="009A6362">
        <w:t>.</w:t>
      </w:r>
      <w:r w:rsidRPr="009A6362">
        <w:tab/>
      </w:r>
      <w:r w:rsidRPr="009A6362">
        <w:rPr>
          <w:b/>
        </w:rPr>
        <w:t>The Committee recommends that the State party prevent and protect LBTI women from gender-based violence and take measures such as public awareness raising to address their stigmatization. It also recommends that the State party respect the rights of transgender women to autonomy, self-determination and legal recognition of their gender identity through an expeditious, transparent and accessible procedure.</w:t>
      </w:r>
    </w:p>
    <w:p w14:paraId="73054211" w14:textId="77777777" w:rsidR="00CF1577" w:rsidRPr="00696E8D" w:rsidRDefault="00CF1577" w:rsidP="00213BE9">
      <w:pPr>
        <w:pStyle w:val="H4G"/>
      </w:pPr>
      <w:r w:rsidRPr="008C4AF4">
        <w:tab/>
      </w:r>
      <w:r w:rsidRPr="008C4AF4">
        <w:tab/>
      </w:r>
      <w:r w:rsidRPr="00696E8D">
        <w:t>Women in detention</w:t>
      </w:r>
    </w:p>
    <w:p w14:paraId="2BC46BC8" w14:textId="4015814B" w:rsidR="00CF1577" w:rsidRPr="00FA7E31" w:rsidRDefault="00CF1577" w:rsidP="00CF1577">
      <w:pPr>
        <w:pStyle w:val="SingleTxtG"/>
        <w:rPr>
          <w:b/>
        </w:rPr>
      </w:pPr>
      <w:r w:rsidRPr="00FA7E31">
        <w:t>4</w:t>
      </w:r>
      <w:r w:rsidR="00817805">
        <w:t>9</w:t>
      </w:r>
      <w:r w:rsidRPr="00FA7E31">
        <w:t>.</w:t>
      </w:r>
      <w:r w:rsidRPr="00FA7E31">
        <w:rPr>
          <w:b/>
        </w:rPr>
        <w:tab/>
      </w:r>
      <w:r w:rsidRPr="00FA7E31">
        <w:t xml:space="preserve">The Committee notes with concern the poor conditions for women in detention </w:t>
      </w:r>
      <w:r>
        <w:t>in</w:t>
      </w:r>
      <w:r w:rsidRPr="00FA7E31">
        <w:t xml:space="preserve"> overcrowded facilities and </w:t>
      </w:r>
      <w:r>
        <w:t xml:space="preserve">with </w:t>
      </w:r>
      <w:r w:rsidRPr="00FA7E31">
        <w:t xml:space="preserve">limited access to sexual and reproductive health services, </w:t>
      </w:r>
      <w:r>
        <w:t>menstrual hygiene</w:t>
      </w:r>
      <w:r w:rsidRPr="00FA7E31">
        <w:t xml:space="preserve"> products and protection from sexual </w:t>
      </w:r>
      <w:r>
        <w:t xml:space="preserve">violence and </w:t>
      </w:r>
      <w:r w:rsidRPr="00FA7E31">
        <w:t xml:space="preserve">harassment. </w:t>
      </w:r>
    </w:p>
    <w:p w14:paraId="296796D3" w14:textId="7D9982B8" w:rsidR="00CF1577" w:rsidRPr="00FA7E31" w:rsidRDefault="00817805" w:rsidP="00CF1577">
      <w:pPr>
        <w:pStyle w:val="SingleTxtG"/>
        <w:rPr>
          <w:b/>
          <w:bCs/>
        </w:rPr>
      </w:pPr>
      <w:r>
        <w:t>50</w:t>
      </w:r>
      <w:r w:rsidR="00CF1577" w:rsidRPr="00FA7E31">
        <w:t>.</w:t>
      </w:r>
      <w:r w:rsidR="00CF1577" w:rsidRPr="00FA7E31">
        <w:tab/>
      </w:r>
      <w:r w:rsidR="00CF1577" w:rsidRPr="00FA7E31">
        <w:rPr>
          <w:b/>
          <w:bCs/>
        </w:rPr>
        <w:t xml:space="preserve">The Committee recommends that the State party </w:t>
      </w:r>
      <w:r w:rsidR="00CF1577" w:rsidRPr="00FA7E31">
        <w:rPr>
          <w:b/>
        </w:rPr>
        <w:t xml:space="preserve">ensure that the conditions of </w:t>
      </w:r>
      <w:r w:rsidR="00CF1577">
        <w:rPr>
          <w:b/>
        </w:rPr>
        <w:t xml:space="preserve">women in </w:t>
      </w:r>
      <w:r w:rsidR="00CF1577" w:rsidRPr="00FA7E31">
        <w:rPr>
          <w:b/>
        </w:rPr>
        <w:t xml:space="preserve">detention are in line with the United Nations Rules for the Treatment of Women Prisoners and Non-Custodial Measures for Women Offenders (the Bangkok Rules) and the United Nations Standard Minimum Rules for the Treatment of Prisoners (the Nelson Mandela Rules), that all reports of sexual </w:t>
      </w:r>
      <w:r w:rsidR="00CF1577">
        <w:rPr>
          <w:b/>
        </w:rPr>
        <w:t xml:space="preserve">violence and </w:t>
      </w:r>
      <w:r w:rsidR="00CF1577" w:rsidRPr="00FA7E31">
        <w:rPr>
          <w:b/>
        </w:rPr>
        <w:t>harassment in detention facilities are effectively investigated,</w:t>
      </w:r>
      <w:r w:rsidR="00CF1577" w:rsidRPr="00FA7E31">
        <w:t xml:space="preserve"> </w:t>
      </w:r>
      <w:r w:rsidR="00CF1577" w:rsidRPr="00FA7E31">
        <w:rPr>
          <w:b/>
        </w:rPr>
        <w:t>and that perpetrators are prosecuted and adequately punished</w:t>
      </w:r>
      <w:r w:rsidR="00CF1577" w:rsidRPr="00FA7E31">
        <w:rPr>
          <w:b/>
          <w:bCs/>
        </w:rPr>
        <w:t xml:space="preserve">. </w:t>
      </w:r>
    </w:p>
    <w:p w14:paraId="0611D4DA" w14:textId="77777777" w:rsidR="00CF1577" w:rsidRPr="008C4AF4" w:rsidRDefault="00CF1577" w:rsidP="00CF1577">
      <w:pPr>
        <w:pStyle w:val="H23G"/>
      </w:pPr>
      <w:r w:rsidRPr="008C4AF4">
        <w:tab/>
      </w:r>
      <w:r w:rsidRPr="008C4AF4">
        <w:tab/>
        <w:t>Climate change and disaster risk reduction</w:t>
      </w:r>
    </w:p>
    <w:p w14:paraId="751F6B82" w14:textId="7C90F9E5" w:rsidR="00CF1577" w:rsidRPr="008A6B8E" w:rsidRDefault="00817805" w:rsidP="00CF1577">
      <w:pPr>
        <w:pStyle w:val="SingleTxtG"/>
        <w:rPr>
          <w:highlight w:val="green"/>
          <w:lang w:val="en-US"/>
        </w:rPr>
      </w:pPr>
      <w:r>
        <w:t>51</w:t>
      </w:r>
      <w:r w:rsidR="00CF1577" w:rsidRPr="00622915">
        <w:t>.</w:t>
      </w:r>
      <w:r w:rsidR="00CF1577" w:rsidRPr="00622915">
        <w:tab/>
        <w:t>The Committee notes the Methodology</w:t>
      </w:r>
      <w:r w:rsidR="00CF1577" w:rsidRPr="007F5571">
        <w:t xml:space="preserve"> for </w:t>
      </w:r>
      <w:r w:rsidR="00CF1577">
        <w:t>I</w:t>
      </w:r>
      <w:r w:rsidR="00CF1577" w:rsidRPr="007F5571">
        <w:t xml:space="preserve">ncorporating the Gender Perspective from a Human Rights </w:t>
      </w:r>
      <w:r w:rsidR="00CF1577">
        <w:t>A</w:t>
      </w:r>
      <w:r w:rsidR="00CF1577" w:rsidRPr="007F5571">
        <w:t xml:space="preserve">pproach in Environmental </w:t>
      </w:r>
      <w:r w:rsidR="00CF1577" w:rsidRPr="00622915">
        <w:t>Program</w:t>
      </w:r>
      <w:r w:rsidR="00CF1577">
        <w:t>me</w:t>
      </w:r>
      <w:r w:rsidR="00CF1577" w:rsidRPr="00622915">
        <w:t>s</w:t>
      </w:r>
      <w:r w:rsidR="00CF1577">
        <w:t>, published by the State party in cooperation with UNDP</w:t>
      </w:r>
      <w:r w:rsidR="00782ECF">
        <w:t xml:space="preserve">. </w:t>
      </w:r>
      <w:r w:rsidR="00CF1577" w:rsidRPr="00622915">
        <w:rPr>
          <w:lang w:val="en-US"/>
        </w:rPr>
        <w:t>However, it notes with concern:</w:t>
      </w:r>
    </w:p>
    <w:p w14:paraId="516C62E5" w14:textId="6872C54E" w:rsidR="00CF1577" w:rsidRPr="00521A35" w:rsidRDefault="00CF1577" w:rsidP="00CF1577">
      <w:pPr>
        <w:pStyle w:val="SingleTxtG"/>
      </w:pPr>
      <w:r w:rsidRPr="00521A35">
        <w:tab/>
        <w:t>(a)</w:t>
      </w:r>
      <w:r w:rsidRPr="00521A35">
        <w:tab/>
        <w:t>That women, in particular rural women, indigenous women, women of African descent, migrant and refugee women and women living in poverty, are disproportionately affected by climate change</w:t>
      </w:r>
      <w:r w:rsidR="00B61316">
        <w:t>,</w:t>
      </w:r>
      <w:r w:rsidRPr="00521A35">
        <w:t xml:space="preserve"> the loss of natural resources </w:t>
      </w:r>
      <w:r w:rsidR="00984183">
        <w:t xml:space="preserve">and mercury contamination </w:t>
      </w:r>
      <w:r w:rsidRPr="00521A35">
        <w:t xml:space="preserve">as they often live in exposed areas and lack the necessary conditions to increase their climate resilience; </w:t>
      </w:r>
    </w:p>
    <w:p w14:paraId="461AD105" w14:textId="258B219E" w:rsidR="00CF1577" w:rsidRPr="00715171" w:rsidRDefault="00CF1577" w:rsidP="00CF1577">
      <w:pPr>
        <w:pStyle w:val="SingleTxtG"/>
      </w:pPr>
      <w:r w:rsidRPr="00715171">
        <w:tab/>
        <w:t>(b)</w:t>
      </w:r>
      <w:r w:rsidRPr="00715171">
        <w:tab/>
        <w:t>Th</w:t>
      </w:r>
      <w:r>
        <w:t>at th</w:t>
      </w:r>
      <w:r w:rsidRPr="00715171">
        <w:t>e State party</w:t>
      </w:r>
      <w:r>
        <w:t xml:space="preserve"> has not</w:t>
      </w:r>
      <w:r w:rsidRPr="00715171">
        <w:t xml:space="preserve"> ratif</w:t>
      </w:r>
      <w:r>
        <w:t>ied or acceded to</w:t>
      </w:r>
      <w:r w:rsidRPr="00715171">
        <w:t xml:space="preserve"> the landmark </w:t>
      </w:r>
      <w:r w:rsidR="00ED7734">
        <w:t xml:space="preserve">United Nations Minamata Convention (2013) or the </w:t>
      </w:r>
      <w:r w:rsidRPr="00715171">
        <w:t>U</w:t>
      </w:r>
      <w:r>
        <w:t xml:space="preserve">nited </w:t>
      </w:r>
      <w:r w:rsidRPr="00715171">
        <w:t>N</w:t>
      </w:r>
      <w:r>
        <w:t>ations</w:t>
      </w:r>
      <w:r w:rsidRPr="00715171">
        <w:t xml:space="preserve"> Escazú Agreement </w:t>
      </w:r>
      <w:r>
        <w:t>(</w:t>
      </w:r>
      <w:r w:rsidRPr="00715171">
        <w:t>2018</w:t>
      </w:r>
      <w:r>
        <w:t>)</w:t>
      </w:r>
      <w:r w:rsidRPr="00715171">
        <w:t>;</w:t>
      </w:r>
    </w:p>
    <w:p w14:paraId="0DD180E4" w14:textId="14BADD40" w:rsidR="00CF1577" w:rsidRPr="00715171" w:rsidRDefault="00CF1577" w:rsidP="00CF1577">
      <w:pPr>
        <w:pStyle w:val="SingleTxtG"/>
        <w:rPr>
          <w:lang w:val="en-US"/>
        </w:rPr>
      </w:pPr>
      <w:r w:rsidRPr="00715171">
        <w:tab/>
        <w:t>(c)</w:t>
      </w:r>
      <w:r w:rsidRPr="00715171">
        <w:tab/>
        <w:t xml:space="preserve">The lack of protection </w:t>
      </w:r>
      <w:r>
        <w:t xml:space="preserve">from intimidation, harassment and reprisals </w:t>
      </w:r>
      <w:r w:rsidRPr="00715171">
        <w:t xml:space="preserve">for </w:t>
      </w:r>
      <w:r w:rsidRPr="00715171">
        <w:rPr>
          <w:lang w:val="en-US"/>
        </w:rPr>
        <w:t>women environmental human rights defenders, many of whom are indigenous women</w:t>
      </w:r>
      <w:r w:rsidR="005133ED">
        <w:rPr>
          <w:lang w:val="en-US"/>
        </w:rPr>
        <w:t>.</w:t>
      </w:r>
    </w:p>
    <w:p w14:paraId="394A56A9" w14:textId="1D4B8A68" w:rsidR="00CF1577" w:rsidRPr="00E144BE" w:rsidRDefault="00CF1577" w:rsidP="00CF1577">
      <w:pPr>
        <w:pStyle w:val="SingleTxtG"/>
        <w:rPr>
          <w:b/>
          <w:bCs/>
        </w:rPr>
      </w:pPr>
      <w:r>
        <w:t>5</w:t>
      </w:r>
      <w:r w:rsidR="00817805">
        <w:t>2</w:t>
      </w:r>
      <w:r w:rsidRPr="00E144BE">
        <w:t>.</w:t>
      </w:r>
      <w:r w:rsidRPr="00E144BE">
        <w:tab/>
      </w:r>
      <w:r w:rsidRPr="00E144BE">
        <w:rPr>
          <w:b/>
          <w:bCs/>
        </w:rPr>
        <w:t xml:space="preserve">Recalling its general recommendation No. 37 (2018) on the gender-related dimensions of disaster risk reduction in the context of climate change, the Committee recommends that the State party: </w:t>
      </w:r>
    </w:p>
    <w:p w14:paraId="73EB7532" w14:textId="690D1D76" w:rsidR="00CF1577" w:rsidRPr="00715171" w:rsidRDefault="00CF1577" w:rsidP="00CF1577">
      <w:pPr>
        <w:pStyle w:val="SingleTxtG"/>
        <w:rPr>
          <w:b/>
          <w:bCs/>
        </w:rPr>
      </w:pPr>
      <w:r w:rsidRPr="00715171">
        <w:tab/>
        <w:t>(a)</w:t>
      </w:r>
      <w:r w:rsidRPr="00715171">
        <w:tab/>
      </w:r>
      <w:r w:rsidRPr="00715171">
        <w:rPr>
          <w:b/>
          <w:bCs/>
        </w:rPr>
        <w:t>Include a gender perspective in national policies and action plans on climate change and disaster and risk reduction and ensure the meaningful participation of women in the formulation and implementation of such policies;</w:t>
      </w:r>
    </w:p>
    <w:p w14:paraId="2AFBFD45" w14:textId="41930B63" w:rsidR="00CF1577" w:rsidRPr="00715171" w:rsidRDefault="00CF1577" w:rsidP="00CF1577">
      <w:pPr>
        <w:pStyle w:val="SingleTxtG"/>
        <w:rPr>
          <w:b/>
        </w:rPr>
      </w:pPr>
      <w:r w:rsidRPr="00715171">
        <w:lastRenderedPageBreak/>
        <w:tab/>
        <w:t>(b)</w:t>
      </w:r>
      <w:r w:rsidRPr="00715171">
        <w:tab/>
      </w:r>
      <w:r>
        <w:rPr>
          <w:b/>
        </w:rPr>
        <w:t>R</w:t>
      </w:r>
      <w:r w:rsidRPr="00715171">
        <w:rPr>
          <w:b/>
        </w:rPr>
        <w:t xml:space="preserve">atify the </w:t>
      </w:r>
      <w:r w:rsidR="00ED7734" w:rsidRPr="00ED7734">
        <w:rPr>
          <w:b/>
          <w:bCs/>
        </w:rPr>
        <w:t>United Nations Minamata Convention (2013)</w:t>
      </w:r>
      <w:r w:rsidR="00ED7734">
        <w:t xml:space="preserve"> </w:t>
      </w:r>
      <w:r w:rsidR="00ED7734">
        <w:rPr>
          <w:b/>
        </w:rPr>
        <w:t xml:space="preserve">and the </w:t>
      </w:r>
      <w:r w:rsidRPr="00715171">
        <w:rPr>
          <w:b/>
        </w:rPr>
        <w:t>U</w:t>
      </w:r>
      <w:r>
        <w:rPr>
          <w:b/>
        </w:rPr>
        <w:t xml:space="preserve">nited </w:t>
      </w:r>
      <w:r w:rsidRPr="00715171">
        <w:rPr>
          <w:b/>
        </w:rPr>
        <w:t>N</w:t>
      </w:r>
      <w:r>
        <w:rPr>
          <w:b/>
        </w:rPr>
        <w:t>ations</w:t>
      </w:r>
      <w:r w:rsidRPr="00715171">
        <w:rPr>
          <w:b/>
        </w:rPr>
        <w:t xml:space="preserve"> Escazú Agreement</w:t>
      </w:r>
      <w:r>
        <w:rPr>
          <w:b/>
        </w:rPr>
        <w:t xml:space="preserve"> (2018)</w:t>
      </w:r>
      <w:r w:rsidRPr="00715171">
        <w:rPr>
          <w:b/>
        </w:rPr>
        <w:t>;</w:t>
      </w:r>
    </w:p>
    <w:p w14:paraId="20300E85" w14:textId="4CCAD161" w:rsidR="00CF1577" w:rsidRPr="00715171" w:rsidRDefault="00CF1577" w:rsidP="00CF1577">
      <w:pPr>
        <w:pStyle w:val="SingleTxtG"/>
        <w:rPr>
          <w:b/>
          <w:bCs/>
        </w:rPr>
      </w:pPr>
      <w:r w:rsidRPr="00715171">
        <w:rPr>
          <w:b/>
          <w:bCs/>
        </w:rPr>
        <w:tab/>
      </w:r>
      <w:r w:rsidRPr="00715171">
        <w:rPr>
          <w:bCs/>
        </w:rPr>
        <w:t>(c)</w:t>
      </w:r>
      <w:r w:rsidRPr="00715171">
        <w:rPr>
          <w:bCs/>
        </w:rPr>
        <w:tab/>
      </w:r>
      <w:r w:rsidRPr="00715171">
        <w:rPr>
          <w:b/>
          <w:bCs/>
        </w:rPr>
        <w:t xml:space="preserve">Ensure the protection </w:t>
      </w:r>
      <w:r>
        <w:rPr>
          <w:b/>
          <w:bCs/>
        </w:rPr>
        <w:t>from intimidation, harassment and reprisals</w:t>
      </w:r>
      <w:r w:rsidRPr="00715171">
        <w:rPr>
          <w:b/>
          <w:bCs/>
        </w:rPr>
        <w:t xml:space="preserve"> of </w:t>
      </w:r>
      <w:r>
        <w:rPr>
          <w:b/>
          <w:bCs/>
        </w:rPr>
        <w:t xml:space="preserve">women </w:t>
      </w:r>
      <w:r w:rsidRPr="00715171">
        <w:rPr>
          <w:b/>
          <w:bCs/>
        </w:rPr>
        <w:t>environmental rights defenders</w:t>
      </w:r>
      <w:r>
        <w:rPr>
          <w:b/>
          <w:bCs/>
        </w:rPr>
        <w:t>,</w:t>
      </w:r>
      <w:r w:rsidRPr="00715171">
        <w:rPr>
          <w:b/>
          <w:bCs/>
        </w:rPr>
        <w:t xml:space="preserve"> especially in</w:t>
      </w:r>
      <w:r>
        <w:rPr>
          <w:b/>
          <w:bCs/>
        </w:rPr>
        <w:t>digenous</w:t>
      </w:r>
      <w:r w:rsidRPr="00715171">
        <w:rPr>
          <w:b/>
          <w:bCs/>
        </w:rPr>
        <w:t xml:space="preserve"> </w:t>
      </w:r>
      <w:r>
        <w:rPr>
          <w:b/>
          <w:bCs/>
        </w:rPr>
        <w:t>women</w:t>
      </w:r>
      <w:r w:rsidR="006A6233">
        <w:rPr>
          <w:b/>
          <w:bCs/>
        </w:rPr>
        <w:t>.</w:t>
      </w:r>
    </w:p>
    <w:p w14:paraId="6EA9BE9C" w14:textId="77777777" w:rsidR="00CF1577" w:rsidRPr="008C4AF4" w:rsidRDefault="00CF1577" w:rsidP="005133ED">
      <w:pPr>
        <w:pStyle w:val="H23G"/>
      </w:pPr>
      <w:r w:rsidRPr="008C4AF4">
        <w:tab/>
      </w:r>
      <w:r w:rsidRPr="008C4AF4">
        <w:tab/>
        <w:t xml:space="preserve">Marriage and </w:t>
      </w:r>
      <w:r w:rsidRPr="005133ED">
        <w:t>family</w:t>
      </w:r>
      <w:r w:rsidRPr="008C4AF4">
        <w:t xml:space="preserve"> relations</w:t>
      </w:r>
    </w:p>
    <w:p w14:paraId="01024CA7" w14:textId="31FACC28" w:rsidR="00CF1577" w:rsidRPr="004C2C1C" w:rsidRDefault="00CF1577" w:rsidP="002C1DD6">
      <w:pPr>
        <w:pStyle w:val="SingleTxtG"/>
      </w:pPr>
      <w:r w:rsidRPr="004C2C1C">
        <w:rPr>
          <w:bCs/>
        </w:rPr>
        <w:t>5</w:t>
      </w:r>
      <w:r w:rsidR="00817805" w:rsidRPr="004C2C1C">
        <w:rPr>
          <w:bCs/>
        </w:rPr>
        <w:t>3</w:t>
      </w:r>
      <w:r w:rsidRPr="004C2C1C">
        <w:rPr>
          <w:bCs/>
        </w:rPr>
        <w:t>.</w:t>
      </w:r>
      <w:r w:rsidRPr="004C2C1C">
        <w:rPr>
          <w:bCs/>
        </w:rPr>
        <w:tab/>
        <w:t xml:space="preserve">The Committee notes </w:t>
      </w:r>
      <w:r w:rsidR="00731E43" w:rsidRPr="004C2C1C">
        <w:rPr>
          <w:bCs/>
        </w:rPr>
        <w:t xml:space="preserve">that the Law for the Prevention and Eradication of Sexual Abuse against Girls, Boys and Adolescents (2021) </w:t>
      </w:r>
      <w:r w:rsidR="004C2C1C">
        <w:rPr>
          <w:bCs/>
        </w:rPr>
        <w:t>elevates</w:t>
      </w:r>
      <w:r w:rsidR="00731E43" w:rsidRPr="004C2C1C">
        <w:rPr>
          <w:bCs/>
        </w:rPr>
        <w:t xml:space="preserve"> the minimum age of marriage </w:t>
      </w:r>
      <w:r w:rsidR="004C2C1C">
        <w:rPr>
          <w:bCs/>
        </w:rPr>
        <w:t>to</w:t>
      </w:r>
      <w:r w:rsidR="00731E43" w:rsidRPr="004C2C1C">
        <w:rPr>
          <w:bCs/>
        </w:rPr>
        <w:t xml:space="preserve"> 16 years for both girls and boys</w:t>
      </w:r>
      <w:r w:rsidR="00AE1A97">
        <w:rPr>
          <w:bCs/>
        </w:rPr>
        <w:t xml:space="preserve">. It </w:t>
      </w:r>
      <w:r w:rsidR="005C59D9">
        <w:rPr>
          <w:bCs/>
        </w:rPr>
        <w:t>remains</w:t>
      </w:r>
      <w:r w:rsidR="00AE1A97">
        <w:rPr>
          <w:bCs/>
        </w:rPr>
        <w:t xml:space="preserve"> concern</w:t>
      </w:r>
      <w:r w:rsidR="005C59D9">
        <w:rPr>
          <w:bCs/>
        </w:rPr>
        <w:t>ed,</w:t>
      </w:r>
      <w:r w:rsidR="00AE1A97">
        <w:rPr>
          <w:bCs/>
        </w:rPr>
        <w:t xml:space="preserve"> however that the change still does not comply with</w:t>
      </w:r>
      <w:r w:rsidR="00603EC4">
        <w:rPr>
          <w:bCs/>
        </w:rPr>
        <w:t xml:space="preserve"> article</w:t>
      </w:r>
      <w:r w:rsidR="006F29F6">
        <w:rPr>
          <w:bCs/>
        </w:rPr>
        <w:t xml:space="preserve"> 16 (2) of</w:t>
      </w:r>
      <w:r w:rsidR="00AE1A97">
        <w:rPr>
          <w:bCs/>
        </w:rPr>
        <w:t xml:space="preserve"> the Convention. It </w:t>
      </w:r>
      <w:r w:rsidR="005C59D9">
        <w:rPr>
          <w:bCs/>
        </w:rPr>
        <w:t>also notes</w:t>
      </w:r>
      <w:r w:rsidR="00731E43" w:rsidRPr="004C2C1C">
        <w:rPr>
          <w:bCs/>
        </w:rPr>
        <w:t xml:space="preserve"> </w:t>
      </w:r>
      <w:r w:rsidRPr="004C2C1C">
        <w:rPr>
          <w:bCs/>
        </w:rPr>
        <w:t xml:space="preserve">with concern that intangible property, such as pension and insurance benefits, are not considered as part of the joint marital property to be divided upon divorce in the State party. It also remains concerned </w:t>
      </w:r>
      <w:r w:rsidR="002C1DD6" w:rsidRPr="004C2C1C">
        <w:rPr>
          <w:bCs/>
        </w:rPr>
        <w:t xml:space="preserve">and that </w:t>
      </w:r>
      <w:r w:rsidR="002C1DD6" w:rsidRPr="004C2C1C">
        <w:t xml:space="preserve">marriage and unions for same-sex couples are not legally recognized. </w:t>
      </w:r>
    </w:p>
    <w:p w14:paraId="50435E63" w14:textId="7494A534" w:rsidR="00CF1577" w:rsidRPr="00344629" w:rsidRDefault="00CF1577" w:rsidP="00CF1577">
      <w:pPr>
        <w:pStyle w:val="SingleTxtG"/>
        <w:rPr>
          <w:b/>
          <w:bCs/>
        </w:rPr>
      </w:pPr>
      <w:r w:rsidRPr="004C2C1C">
        <w:rPr>
          <w:bCs/>
        </w:rPr>
        <w:t>5</w:t>
      </w:r>
      <w:r w:rsidR="00817805" w:rsidRPr="004C2C1C">
        <w:rPr>
          <w:bCs/>
        </w:rPr>
        <w:t>4</w:t>
      </w:r>
      <w:r w:rsidRPr="004C2C1C">
        <w:rPr>
          <w:bCs/>
        </w:rPr>
        <w:t>.</w:t>
      </w:r>
      <w:r w:rsidRPr="004C2C1C">
        <w:rPr>
          <w:bCs/>
        </w:rPr>
        <w:tab/>
      </w:r>
      <w:r w:rsidRPr="004C2C1C">
        <w:rPr>
          <w:b/>
          <w:bCs/>
        </w:rPr>
        <w:t>The Committee</w:t>
      </w:r>
      <w:r w:rsidR="00DB4E84" w:rsidRPr="004C2C1C">
        <w:rPr>
          <w:b/>
          <w:bCs/>
        </w:rPr>
        <w:t>, in line with its previous concluding observations (CEDAW/C/VEN/CO/7-</w:t>
      </w:r>
      <w:r w:rsidR="006468BB" w:rsidRPr="004C2C1C">
        <w:rPr>
          <w:b/>
          <w:bCs/>
        </w:rPr>
        <w:t xml:space="preserve">8 </w:t>
      </w:r>
      <w:r w:rsidR="006468BB">
        <w:rPr>
          <w:b/>
          <w:bCs/>
        </w:rPr>
        <w:t>para</w:t>
      </w:r>
      <w:r w:rsidR="00DB4E84" w:rsidRPr="004C2C1C">
        <w:rPr>
          <w:b/>
          <w:bCs/>
        </w:rPr>
        <w:t>. 41)</w:t>
      </w:r>
      <w:r w:rsidRPr="004C2C1C">
        <w:rPr>
          <w:b/>
          <w:bCs/>
        </w:rPr>
        <w:t xml:space="preserve"> recommends that the State party take the legislative measures necessary to recognize intangible property, such as pension and insurance benefits, as part of the joint martial property to be divided upon divorce, in line with article 16 (1) of the Convention and the Committee’s general recommendation No. 29 (</w:t>
      </w:r>
      <w:r w:rsidR="003A4FB0" w:rsidRPr="004C2C1C">
        <w:rPr>
          <w:b/>
          <w:bCs/>
        </w:rPr>
        <w:t>2013</w:t>
      </w:r>
      <w:r w:rsidRPr="004C2C1C">
        <w:rPr>
          <w:b/>
          <w:bCs/>
        </w:rPr>
        <w:t xml:space="preserve">) </w:t>
      </w:r>
      <w:r w:rsidR="003A4FB0" w:rsidRPr="004C2C1C">
        <w:rPr>
          <w:b/>
          <w:bCs/>
        </w:rPr>
        <w:t>on economic consequences of marriage, family relations and their dissolution.</w:t>
      </w:r>
      <w:r w:rsidRPr="004C2C1C">
        <w:rPr>
          <w:b/>
          <w:bCs/>
        </w:rPr>
        <w:t xml:space="preserve"> It also recommends that the State </w:t>
      </w:r>
      <w:r w:rsidR="00ED25F9" w:rsidRPr="004C2C1C">
        <w:rPr>
          <w:b/>
          <w:bCs/>
        </w:rPr>
        <w:t xml:space="preserve">party </w:t>
      </w:r>
      <w:r w:rsidR="00DB4E84" w:rsidRPr="004C2C1C">
        <w:rPr>
          <w:b/>
          <w:bCs/>
        </w:rPr>
        <w:t xml:space="preserve">criminalize </w:t>
      </w:r>
      <w:r w:rsidRPr="004C2C1C">
        <w:rPr>
          <w:b/>
          <w:bCs/>
        </w:rPr>
        <w:t xml:space="preserve">marriage </w:t>
      </w:r>
      <w:r w:rsidR="00731E43" w:rsidRPr="004C2C1C">
        <w:rPr>
          <w:b/>
          <w:bCs/>
        </w:rPr>
        <w:t xml:space="preserve">before </w:t>
      </w:r>
      <w:r w:rsidRPr="004C2C1C">
        <w:rPr>
          <w:b/>
          <w:bCs/>
        </w:rPr>
        <w:t>18 years for both women and men, without exception, in line with article 16 (2) of the Convention and joint general recommendation No. 31 of the Committee/general comment No. 18 of the Committee on the Rights of the Child (2019)</w:t>
      </w:r>
      <w:r w:rsidR="000E7B12" w:rsidRPr="004C2C1C">
        <w:rPr>
          <w:b/>
          <w:bCs/>
        </w:rPr>
        <w:t xml:space="preserve"> and </w:t>
      </w:r>
      <w:r w:rsidR="005E3733" w:rsidRPr="004C2C1C">
        <w:rPr>
          <w:b/>
          <w:bCs/>
        </w:rPr>
        <w:t xml:space="preserve">advances </w:t>
      </w:r>
      <w:r w:rsidR="002C1DD6" w:rsidRPr="004C2C1C">
        <w:rPr>
          <w:b/>
          <w:bCs/>
        </w:rPr>
        <w:t xml:space="preserve">legislation </w:t>
      </w:r>
      <w:r w:rsidR="005E3733" w:rsidRPr="004C2C1C">
        <w:rPr>
          <w:b/>
          <w:bCs/>
        </w:rPr>
        <w:t>towards recognizing marriage and unions for same-sex couples.</w:t>
      </w:r>
      <w:r>
        <w:rPr>
          <w:b/>
          <w:bCs/>
        </w:rPr>
        <w:t xml:space="preserve"> </w:t>
      </w:r>
    </w:p>
    <w:p w14:paraId="4388CCE4" w14:textId="11560C60" w:rsidR="00CF1577" w:rsidRPr="00856CB0" w:rsidRDefault="005133ED" w:rsidP="005133ED">
      <w:pPr>
        <w:pStyle w:val="H23G"/>
      </w:pPr>
      <w:r>
        <w:tab/>
      </w:r>
      <w:r>
        <w:tab/>
      </w:r>
      <w:r w:rsidR="00CF1577" w:rsidRPr="00856CB0">
        <w:t xml:space="preserve">Amendment to article 20 (1) of the Convention </w:t>
      </w:r>
    </w:p>
    <w:p w14:paraId="72290C5C" w14:textId="5F6E3AE4" w:rsidR="00CF1577" w:rsidRPr="00811624" w:rsidRDefault="00CF1577" w:rsidP="00CF1577">
      <w:pPr>
        <w:pStyle w:val="SingleTxtG"/>
        <w:rPr>
          <w:b/>
          <w:lang w:val="en-US"/>
        </w:rPr>
      </w:pPr>
      <w:r>
        <w:rPr>
          <w:bCs/>
        </w:rPr>
        <w:t>5</w:t>
      </w:r>
      <w:r w:rsidR="00817805">
        <w:rPr>
          <w:bCs/>
        </w:rPr>
        <w:t>5</w:t>
      </w:r>
      <w:r w:rsidRPr="00811624">
        <w:rPr>
          <w:bCs/>
        </w:rPr>
        <w:t>.</w:t>
      </w:r>
      <w:r w:rsidRPr="00811624">
        <w:rPr>
          <w:b/>
        </w:rPr>
        <w:tab/>
      </w:r>
      <w:r w:rsidRPr="00811624">
        <w:rPr>
          <w:b/>
          <w:bCs/>
        </w:rPr>
        <w:t>The Committee encourages the State party to accept, as soon as possible, the amendment to article 20 (1) of the Convention concerning the meeting time of the Committee.</w:t>
      </w:r>
    </w:p>
    <w:p w14:paraId="2BCC14D8" w14:textId="77777777" w:rsidR="00CF1577" w:rsidRPr="008C4AF4" w:rsidRDefault="00CF1577" w:rsidP="00CF1577">
      <w:pPr>
        <w:pStyle w:val="H23G"/>
        <w:rPr>
          <w:lang w:val="en-US"/>
        </w:rPr>
      </w:pPr>
      <w:r w:rsidRPr="008C4AF4">
        <w:rPr>
          <w:lang w:val="en-US"/>
        </w:rPr>
        <w:tab/>
      </w:r>
      <w:r w:rsidRPr="008C4AF4">
        <w:rPr>
          <w:lang w:val="en-US"/>
        </w:rPr>
        <w:tab/>
        <w:t xml:space="preserve">Data collection and analysis </w:t>
      </w:r>
    </w:p>
    <w:p w14:paraId="4F4859D7" w14:textId="0E35817F" w:rsidR="00CF1577" w:rsidRPr="008C4AF4" w:rsidRDefault="00CF1577" w:rsidP="00CF1577">
      <w:pPr>
        <w:pStyle w:val="SingleTxtG"/>
        <w:rPr>
          <w:b/>
          <w:bCs/>
        </w:rPr>
      </w:pPr>
      <w:r>
        <w:t>5</w:t>
      </w:r>
      <w:r w:rsidR="00817805">
        <w:t>6</w:t>
      </w:r>
      <w:r w:rsidRPr="008C4AF4">
        <w:t>.</w:t>
      </w:r>
      <w:r w:rsidRPr="008C4AF4">
        <w:tab/>
      </w:r>
      <w:r w:rsidRPr="008C4AF4">
        <w:rPr>
          <w:b/>
        </w:rPr>
        <w:t>The Committee recommends that the State party enhance the collection, analysis and dissemination of comprehensive data, disaggregated by sex, age, disability, geographical location and other relevant factors, and use measurable indicators to assess trends in the situation of women and progress towards the realization by women of substantive equality in all areas covered by the Convention and the gender-related targets of the Sustainable Development Goals.</w:t>
      </w:r>
      <w:r w:rsidRPr="008C4AF4">
        <w:rPr>
          <w:b/>
          <w:bCs/>
        </w:rPr>
        <w:t xml:space="preserve"> </w:t>
      </w:r>
    </w:p>
    <w:p w14:paraId="25AB6FDD" w14:textId="77777777" w:rsidR="00CF1577" w:rsidRPr="008C4AF4" w:rsidRDefault="00CF1577" w:rsidP="00CF1577">
      <w:pPr>
        <w:pStyle w:val="H23G"/>
      </w:pPr>
      <w:r w:rsidRPr="008C4AF4">
        <w:tab/>
      </w:r>
      <w:r w:rsidRPr="008C4AF4">
        <w:tab/>
        <w:t>Beijing Declaration and Platform for Action</w:t>
      </w:r>
    </w:p>
    <w:p w14:paraId="3CEF3432" w14:textId="15BA6D89" w:rsidR="00CF1577" w:rsidRDefault="00CF1577" w:rsidP="00CF1577">
      <w:pPr>
        <w:pStyle w:val="SingleTxtG"/>
        <w:rPr>
          <w:b/>
          <w:bCs/>
        </w:rPr>
      </w:pPr>
      <w:r>
        <w:t>5</w:t>
      </w:r>
      <w:r w:rsidR="00817805">
        <w:t>7</w:t>
      </w:r>
      <w:r w:rsidRPr="008C4AF4">
        <w:t>.</w:t>
      </w:r>
      <w:r w:rsidRPr="008C4AF4">
        <w:tab/>
      </w:r>
      <w:r w:rsidRPr="008C4AF4">
        <w:rPr>
          <w:b/>
          <w:bCs/>
        </w:rPr>
        <w:t xml:space="preserve">The Committee calls upon the State party to use the Beijing Declaration and Platform for Action and to further evaluate the realization of the rights enshrined in the Convention in order to achieve substantive equality between women and men. </w:t>
      </w:r>
    </w:p>
    <w:p w14:paraId="3FB243DF" w14:textId="77777777" w:rsidR="00CF1577" w:rsidRPr="008C4AF4" w:rsidRDefault="00CF1577" w:rsidP="00CF1577">
      <w:pPr>
        <w:pStyle w:val="H23G"/>
      </w:pPr>
      <w:r w:rsidRPr="008C4AF4">
        <w:tab/>
      </w:r>
      <w:r w:rsidRPr="008C4AF4">
        <w:tab/>
        <w:t xml:space="preserve">2030 Agenda for Sustainable Development </w:t>
      </w:r>
    </w:p>
    <w:p w14:paraId="34E29675" w14:textId="687015D1" w:rsidR="00CF1577" w:rsidRPr="008C4AF4" w:rsidRDefault="00CF1577" w:rsidP="00CF1577">
      <w:pPr>
        <w:pStyle w:val="SingleTxtG"/>
        <w:rPr>
          <w:b/>
          <w:bCs/>
        </w:rPr>
      </w:pPr>
      <w:r w:rsidRPr="008C4AF4">
        <w:t>5</w:t>
      </w:r>
      <w:r w:rsidR="00817805">
        <w:t>8</w:t>
      </w:r>
      <w:r w:rsidRPr="008C4AF4">
        <w:t>.</w:t>
      </w:r>
      <w:r w:rsidRPr="008C4AF4">
        <w:tab/>
      </w:r>
      <w:r w:rsidRPr="008C4AF4">
        <w:rPr>
          <w:b/>
          <w:bCs/>
        </w:rPr>
        <w:t>The Committee calls for the realization of substantive gender equality, in accordance with the provisions of the Convention, throughout the process of implementation of the 2030 Agenda for Sustainable Development.</w:t>
      </w:r>
    </w:p>
    <w:p w14:paraId="73B2D52D" w14:textId="77777777" w:rsidR="00CF1577" w:rsidRPr="008C4AF4" w:rsidRDefault="00CF1577" w:rsidP="00CF1577">
      <w:pPr>
        <w:pStyle w:val="H23G"/>
      </w:pPr>
      <w:r w:rsidRPr="008C4AF4">
        <w:tab/>
      </w:r>
      <w:r w:rsidRPr="008C4AF4">
        <w:tab/>
        <w:t>Dissemination</w:t>
      </w:r>
    </w:p>
    <w:p w14:paraId="2EA914E9" w14:textId="76EAA0E7" w:rsidR="00CF1577" w:rsidRDefault="00CF1577" w:rsidP="00CF1577">
      <w:pPr>
        <w:pStyle w:val="SingleTxtG"/>
        <w:rPr>
          <w:b/>
          <w:bCs/>
        </w:rPr>
      </w:pPr>
      <w:r w:rsidRPr="008C4AF4">
        <w:t>5</w:t>
      </w:r>
      <w:r w:rsidR="00817805">
        <w:t>9</w:t>
      </w:r>
      <w:r w:rsidRPr="008C4AF4">
        <w:t>.</w:t>
      </w:r>
      <w:r w:rsidRPr="008C4AF4">
        <w:tab/>
      </w:r>
      <w:r w:rsidRPr="008C4AF4">
        <w:rPr>
          <w:b/>
          <w:bCs/>
        </w:rPr>
        <w:t xml:space="preserve">The Committee requests the State party to ensure the timely dissemination of the present concluding observations, in the official language of the State party, to the relevant State institutions at all levels (national, regional and local), in particular to the Government, the ministries, the </w:t>
      </w:r>
      <w:r>
        <w:rPr>
          <w:b/>
          <w:bCs/>
        </w:rPr>
        <w:t xml:space="preserve">National Assembly </w:t>
      </w:r>
      <w:r w:rsidRPr="008C4AF4">
        <w:rPr>
          <w:b/>
          <w:bCs/>
        </w:rPr>
        <w:t>and the judiciary, to enable their full implementation.</w:t>
      </w:r>
    </w:p>
    <w:p w14:paraId="27940856" w14:textId="77777777" w:rsidR="00CF1577" w:rsidRDefault="00CF1577" w:rsidP="00CF1577">
      <w:pPr>
        <w:pStyle w:val="H23G"/>
        <w:rPr>
          <w:lang w:val="en-US"/>
        </w:rPr>
      </w:pPr>
      <w:r>
        <w:rPr>
          <w:lang w:val="en-US"/>
        </w:rPr>
        <w:lastRenderedPageBreak/>
        <w:tab/>
      </w:r>
      <w:r>
        <w:rPr>
          <w:lang w:val="en-US"/>
        </w:rPr>
        <w:tab/>
        <w:t xml:space="preserve">Technical Assistance </w:t>
      </w:r>
    </w:p>
    <w:p w14:paraId="75108EF9" w14:textId="3BB5BC8A" w:rsidR="00CF1577" w:rsidRPr="00F71377" w:rsidRDefault="00817805" w:rsidP="00CF1577">
      <w:pPr>
        <w:pStyle w:val="SingleTxtG"/>
        <w:rPr>
          <w:b/>
          <w:lang w:val="en-US" w:eastAsia="zh-CN"/>
        </w:rPr>
      </w:pPr>
      <w:r>
        <w:t>60</w:t>
      </w:r>
      <w:r w:rsidR="00CF1577">
        <w:t>.</w:t>
      </w:r>
      <w:r w:rsidR="00CF1577">
        <w:tab/>
      </w:r>
      <w:r w:rsidR="00CF1577">
        <w:rPr>
          <w:b/>
          <w:lang w:val="en-US" w:eastAsia="zh-CN"/>
        </w:rPr>
        <w:t>The Committee recommends that the State party link the implementation of the Convention to its development efforts and that it avails itself of regional or international technical assistance in this respect.</w:t>
      </w:r>
    </w:p>
    <w:p w14:paraId="1749EE74" w14:textId="77777777" w:rsidR="00CF1577" w:rsidRPr="00510F34" w:rsidRDefault="00CF1577" w:rsidP="00CF1577">
      <w:pPr>
        <w:pStyle w:val="H23G"/>
      </w:pPr>
      <w:r w:rsidRPr="00510F34">
        <w:tab/>
      </w:r>
      <w:r w:rsidRPr="00510F34">
        <w:tab/>
        <w:t xml:space="preserve">Ratification of other treaties </w:t>
      </w:r>
    </w:p>
    <w:p w14:paraId="0A4DA5B2" w14:textId="4A2D70C5" w:rsidR="00CF1577" w:rsidRPr="008A6B8E" w:rsidRDefault="00B92FC3" w:rsidP="00CF1577">
      <w:pPr>
        <w:pStyle w:val="SingleTxtG"/>
        <w:rPr>
          <w:b/>
          <w:bCs/>
          <w:highlight w:val="green"/>
        </w:rPr>
      </w:pPr>
      <w:r>
        <w:t>61</w:t>
      </w:r>
      <w:r w:rsidR="00CF1577" w:rsidRPr="00164163">
        <w:t>.</w:t>
      </w:r>
      <w:r w:rsidR="00CF1577" w:rsidRPr="00164163">
        <w:tab/>
      </w:r>
      <w:r w:rsidR="00CF1577" w:rsidRPr="00164163">
        <w:rPr>
          <w:b/>
          <w:bCs/>
        </w:rPr>
        <w:t>The Committee notes that the adherence of the State party to the nine major international human rights instruments</w:t>
      </w:r>
      <w:r w:rsidR="00CF1577" w:rsidRPr="00164163">
        <w:rPr>
          <w:vertAlign w:val="superscript"/>
        </w:rPr>
        <w:footnoteReference w:id="2"/>
      </w:r>
      <w:r w:rsidR="00CF1577" w:rsidRPr="00164163">
        <w:t xml:space="preserve"> </w:t>
      </w:r>
      <w:r w:rsidR="00CF1577" w:rsidRPr="00164163">
        <w:rPr>
          <w:b/>
          <w:bCs/>
        </w:rPr>
        <w:t xml:space="preserve">would enhance the enjoyment by women of </w:t>
      </w:r>
      <w:r w:rsidR="00CF1577" w:rsidRPr="00302600">
        <w:rPr>
          <w:b/>
          <w:bCs/>
        </w:rPr>
        <w:t xml:space="preserve">their human rights and fundamental freedoms in all aspects of life. The Committee therefore encourages the State party to ratify the International Convention for the Protection of All Persons from Enforced Disappearance, to which it is not yet a party. </w:t>
      </w:r>
    </w:p>
    <w:p w14:paraId="5FDA5110" w14:textId="77777777" w:rsidR="00CF1577" w:rsidRPr="00510F34" w:rsidRDefault="00CF1577" w:rsidP="00CF1577">
      <w:pPr>
        <w:pStyle w:val="H23G"/>
      </w:pPr>
      <w:r w:rsidRPr="00510F34">
        <w:tab/>
      </w:r>
      <w:r w:rsidRPr="00510F34">
        <w:tab/>
        <w:t xml:space="preserve">Follow-up to the concluding observations </w:t>
      </w:r>
    </w:p>
    <w:p w14:paraId="5564C3E1" w14:textId="4F857E37" w:rsidR="00CF1577" w:rsidRPr="00510F34" w:rsidRDefault="00CF1577" w:rsidP="00CF1577">
      <w:pPr>
        <w:pStyle w:val="SingleTxtG"/>
        <w:rPr>
          <w:b/>
          <w:bCs/>
        </w:rPr>
      </w:pPr>
      <w:r>
        <w:t>6</w:t>
      </w:r>
      <w:r w:rsidR="00B92FC3">
        <w:t>2</w:t>
      </w:r>
      <w:r w:rsidRPr="00510F34">
        <w:t>.</w:t>
      </w:r>
      <w:r w:rsidRPr="00510F34">
        <w:tab/>
      </w:r>
      <w:r w:rsidRPr="00510F34">
        <w:rPr>
          <w:b/>
          <w:bCs/>
        </w:rPr>
        <w:t xml:space="preserve">The Committee requests the State party to provide, within two years, written information on the steps taken to implement the recommendations contained in paragraphs </w:t>
      </w:r>
      <w:r w:rsidRPr="00E530C2">
        <w:rPr>
          <w:b/>
          <w:bCs/>
        </w:rPr>
        <w:t>2</w:t>
      </w:r>
      <w:r w:rsidR="00285DD4" w:rsidRPr="004379F3">
        <w:rPr>
          <w:b/>
          <w:bCs/>
        </w:rPr>
        <w:t>6</w:t>
      </w:r>
      <w:r w:rsidRPr="00E530C2">
        <w:rPr>
          <w:b/>
          <w:bCs/>
        </w:rPr>
        <w:t xml:space="preserve"> (b), 2</w:t>
      </w:r>
      <w:r w:rsidR="00285DD4" w:rsidRPr="004379F3">
        <w:rPr>
          <w:b/>
          <w:bCs/>
        </w:rPr>
        <w:t>8</w:t>
      </w:r>
      <w:r w:rsidRPr="00E530C2">
        <w:rPr>
          <w:b/>
          <w:bCs/>
        </w:rPr>
        <w:t xml:space="preserve"> (c) and 3</w:t>
      </w:r>
      <w:r w:rsidR="00285DD4" w:rsidRPr="004379F3">
        <w:rPr>
          <w:b/>
          <w:bCs/>
        </w:rPr>
        <w:t>8</w:t>
      </w:r>
      <w:r w:rsidRPr="00E530C2">
        <w:rPr>
          <w:b/>
          <w:bCs/>
        </w:rPr>
        <w:t xml:space="preserve"> </w:t>
      </w:r>
      <w:r w:rsidR="00AF6BB1" w:rsidRPr="00E530C2">
        <w:rPr>
          <w:b/>
          <w:bCs/>
        </w:rPr>
        <w:t xml:space="preserve">(b) and </w:t>
      </w:r>
      <w:r w:rsidRPr="00E530C2">
        <w:rPr>
          <w:b/>
          <w:bCs/>
        </w:rPr>
        <w:t>(c) above.</w:t>
      </w:r>
    </w:p>
    <w:p w14:paraId="15BB6C40" w14:textId="77777777" w:rsidR="00CF1577" w:rsidRPr="00E15CD3" w:rsidRDefault="00CF1577" w:rsidP="00CF1577">
      <w:pPr>
        <w:pStyle w:val="H23G"/>
      </w:pPr>
      <w:r w:rsidRPr="00E15CD3">
        <w:tab/>
      </w:r>
      <w:r w:rsidRPr="00E15CD3">
        <w:tab/>
        <w:t xml:space="preserve">Preparation of the next report </w:t>
      </w:r>
    </w:p>
    <w:p w14:paraId="5234A11A" w14:textId="16E1EC52" w:rsidR="00CF1577" w:rsidRPr="00E15CD3" w:rsidRDefault="00CF1577" w:rsidP="00CF1577">
      <w:pPr>
        <w:pStyle w:val="SingleTxtG"/>
        <w:rPr>
          <w:b/>
        </w:rPr>
      </w:pPr>
      <w:r>
        <w:t>6</w:t>
      </w:r>
      <w:r w:rsidR="00B92FC3">
        <w:t>3</w:t>
      </w:r>
      <w:r w:rsidRPr="00E15CD3">
        <w:t>.</w:t>
      </w:r>
      <w:r w:rsidRPr="00E15CD3">
        <w:tab/>
      </w:r>
      <w:r w:rsidRPr="00E15CD3">
        <w:rPr>
          <w:b/>
        </w:rPr>
        <w:t>The Committee will establish and communicate the due date of the tenth periodic report of the State party in line with a future predictable reporting calendar based on an eight-year review cycle and following the adoption of a list of issues and questions prior to reporting, if applicable, for the State party. The report should cover the entire period up to the time of its submission.</w:t>
      </w:r>
    </w:p>
    <w:p w14:paraId="481531B8" w14:textId="021497D3" w:rsidR="00CF1577" w:rsidRDefault="00CF1577" w:rsidP="00CF1577">
      <w:pPr>
        <w:pStyle w:val="SingleTxtG"/>
        <w:rPr>
          <w:b/>
          <w:bCs/>
        </w:rPr>
      </w:pPr>
      <w:r>
        <w:t>6</w:t>
      </w:r>
      <w:r w:rsidR="00B92FC3">
        <w:t>4</w:t>
      </w:r>
      <w:r w:rsidRPr="00E15CD3">
        <w:t>.</w:t>
      </w:r>
      <w:r w:rsidRPr="00E15CD3">
        <w:tab/>
      </w:r>
      <w:r w:rsidRPr="00E15CD3">
        <w:rPr>
          <w:b/>
          <w:bCs/>
        </w:rPr>
        <w:t>The Committee requests the State party to follow the harmonized guidelines on reporting under the international human rights treaties, including guidelines on a common core document and treaty-specific documents (</w:t>
      </w:r>
      <w:hyperlink r:id="rId9" w:history="1">
        <w:r w:rsidRPr="00E15CD3">
          <w:rPr>
            <w:rStyle w:val="Hipervnculo"/>
            <w:b/>
            <w:bCs/>
          </w:rPr>
          <w:t>HRI/GEN/2/Rev.6</w:t>
        </w:r>
      </w:hyperlink>
      <w:r w:rsidRPr="00E15CD3">
        <w:rPr>
          <w:b/>
          <w:bCs/>
        </w:rPr>
        <w:t>, chap. I).</w:t>
      </w:r>
    </w:p>
    <w:p w14:paraId="45DF5493" w14:textId="184AF822" w:rsidR="00C43CDA" w:rsidRPr="003226DE" w:rsidRDefault="00CF1577" w:rsidP="003226DE">
      <w:pPr>
        <w:pStyle w:val="SingleTxtG"/>
        <w:jc w:val="center"/>
        <w:rPr>
          <w:u w:val="single"/>
        </w:rPr>
      </w:pPr>
      <w:r>
        <w:rPr>
          <w:u w:val="single"/>
        </w:rPr>
        <w:tab/>
      </w:r>
      <w:r>
        <w:rPr>
          <w:u w:val="single"/>
        </w:rPr>
        <w:tab/>
      </w:r>
      <w:r>
        <w:rPr>
          <w:u w:val="single"/>
        </w:rPr>
        <w:tab/>
      </w:r>
    </w:p>
    <w:sectPr w:rsidR="00C43CDA" w:rsidRPr="003226DE">
      <w:headerReference w:type="even" r:id="rId10"/>
      <w:headerReference w:type="default" r:id="rId11"/>
      <w:footerReference w:type="even" r:id="rId12"/>
      <w:footerReference w:type="default" r:id="rId13"/>
      <w:footerReference w:type="first" r:id="rId14"/>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6C835" w14:textId="77777777" w:rsidR="00A85FF1" w:rsidRDefault="00A85FF1" w:rsidP="00CF1577">
      <w:pPr>
        <w:spacing w:line="240" w:lineRule="auto"/>
      </w:pPr>
      <w:r>
        <w:separator/>
      </w:r>
    </w:p>
  </w:endnote>
  <w:endnote w:type="continuationSeparator" w:id="0">
    <w:p w14:paraId="71D4622F" w14:textId="77777777" w:rsidR="00A85FF1" w:rsidRDefault="00A85FF1" w:rsidP="00CF1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5B2C" w14:textId="77777777" w:rsidR="008C69AC" w:rsidRDefault="00722909">
    <w:pPr>
      <w:pStyle w:val="Piedepgina"/>
      <w:tabs>
        <w:tab w:val="right" w:pos="9639"/>
      </w:tabs>
    </w:pPr>
    <w:r>
      <w:rPr>
        <w:b/>
        <w:sz w:val="18"/>
      </w:rPr>
      <w:fldChar w:fldCharType="begin"/>
    </w:r>
    <w:r>
      <w:rPr>
        <w:b/>
        <w:sz w:val="18"/>
      </w:rPr>
      <w:instrText xml:space="preserve"> PAGE  \* MERGEFORMAT </w:instrText>
    </w:r>
    <w:r>
      <w:rPr>
        <w:b/>
        <w:sz w:val="18"/>
      </w:rPr>
      <w:fldChar w:fldCharType="separate"/>
    </w:r>
    <w:r>
      <w:rPr>
        <w:b/>
        <w:noProof/>
        <w:sz w:val="18"/>
      </w:rPr>
      <w:t>2</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9494C" w14:textId="77777777" w:rsidR="008C69AC" w:rsidRDefault="00722909">
    <w:pPr>
      <w:pStyle w:val="Piedepgina"/>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Pr>
        <w:b/>
        <w:noProof/>
        <w:sz w:val="18"/>
      </w:rPr>
      <w:t>3</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0C4C" w14:textId="77777777" w:rsidR="008C69AC" w:rsidRDefault="00722909">
    <w:pPr>
      <w:pStyle w:val="Piedepgina"/>
      <w:spacing w:before="120"/>
      <w:rPr>
        <w:noProof/>
        <w:sz w:val="20"/>
        <w:lang w:val="fr-FR" w:eastAsia="fr-FR"/>
      </w:rPr>
    </w:pPr>
    <w:r>
      <w:rPr>
        <w:noProof/>
        <w:lang w:val="fr-CH" w:eastAsia="fr-CH"/>
      </w:rPr>
      <w:drawing>
        <wp:anchor distT="0" distB="0" distL="114300" distR="114300" simplePos="0" relativeHeight="251659264" behindDoc="0" locked="1" layoutInCell="1" allowOverlap="1" wp14:anchorId="063F0CFB" wp14:editId="3BE1BA72">
          <wp:simplePos x="0" y="0"/>
          <wp:positionH relativeFrom="column">
            <wp:posOffset>5868670</wp:posOffset>
          </wp:positionH>
          <wp:positionV relativeFrom="paragraph">
            <wp:posOffset>9387840</wp:posOffset>
          </wp:positionV>
          <wp:extent cx="930275" cy="230505"/>
          <wp:effectExtent l="0" t="0" r="3175" b="0"/>
          <wp:wrapNone/>
          <wp:docPr id="7"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w:t>
    </w:r>
    <w:r>
      <w:rPr>
        <w:noProof/>
        <w:sz w:val="20"/>
        <w:lang w:val="fr-FR" w:eastAsia="fr-FR"/>
      </w:rPr>
      <w:t xml:space="preserve"> </w:t>
    </w:r>
  </w:p>
  <w:tbl>
    <w:tblPr>
      <w:tblStyle w:val="Tablaconcuadrcula"/>
      <w:tblpPr w:leftFromText="181" w:rightFromText="181" w:horzAnchor="page" w:tblpX="7656" w:tblpY="14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74"/>
    </w:tblGrid>
    <w:tr w:rsidR="0059798A" w14:paraId="49F9F2DD" w14:textId="77777777">
      <w:tc>
        <w:tcPr>
          <w:tcW w:w="1848" w:type="dxa"/>
          <w:vAlign w:val="bottom"/>
        </w:tcPr>
        <w:p w14:paraId="7A3A71F5" w14:textId="77777777" w:rsidR="008C69AC" w:rsidRDefault="00722909">
          <w:pPr>
            <w:kinsoku w:val="0"/>
            <w:overflowPunct w:val="0"/>
            <w:autoSpaceDE w:val="0"/>
            <w:autoSpaceDN w:val="0"/>
            <w:adjustRightInd w:val="0"/>
            <w:snapToGrid w:val="0"/>
            <w:spacing w:before="120" w:after="120" w:line="240" w:lineRule="auto"/>
            <w:jc w:val="right"/>
            <w:rPr>
              <w:rFonts w:eastAsiaTheme="minorHAnsi"/>
              <w:sz w:val="16"/>
            </w:rPr>
          </w:pPr>
          <w:r>
            <w:rPr>
              <w:rFonts w:eastAsiaTheme="minorHAnsi"/>
              <w:noProof/>
              <w:lang w:eastAsia="fr-CH"/>
            </w:rPr>
            <w:drawing>
              <wp:inline distT="0" distB="0" distL="0" distR="0" wp14:anchorId="5DBA8945" wp14:editId="5830FE72">
                <wp:extent cx="931545" cy="232410"/>
                <wp:effectExtent l="0" t="0" r="1905" b="0"/>
                <wp:docPr id="2"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ecycle_Englis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31545" cy="232410"/>
                        </a:xfrm>
                        <a:prstGeom prst="rect">
                          <a:avLst/>
                        </a:prstGeom>
                        <a:noFill/>
                        <a:ln>
                          <a:noFill/>
                        </a:ln>
                      </pic:spPr>
                    </pic:pic>
                  </a:graphicData>
                </a:graphic>
              </wp:inline>
            </w:drawing>
          </w:r>
        </w:p>
      </w:tc>
      <w:tc>
        <w:tcPr>
          <w:tcW w:w="1274" w:type="dxa"/>
        </w:tcPr>
        <w:p w14:paraId="2F32C69B" w14:textId="77777777" w:rsidR="008C69AC" w:rsidRDefault="00000000">
          <w:pPr>
            <w:kinsoku w:val="0"/>
            <w:overflowPunct w:val="0"/>
            <w:autoSpaceDE w:val="0"/>
            <w:autoSpaceDN w:val="0"/>
            <w:adjustRightInd w:val="0"/>
            <w:snapToGrid w:val="0"/>
            <w:spacing w:line="240" w:lineRule="auto"/>
            <w:jc w:val="right"/>
            <w:rPr>
              <w:rFonts w:eastAsiaTheme="minorHAnsi"/>
              <w:sz w:val="16"/>
            </w:rPr>
          </w:pPr>
        </w:p>
      </w:tc>
    </w:tr>
  </w:tbl>
  <w:p w14:paraId="14E6D7DD" w14:textId="77777777" w:rsidR="008C69AC"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E032A" w14:textId="77777777" w:rsidR="00A85FF1" w:rsidRDefault="00A85FF1" w:rsidP="00CF1577">
      <w:pPr>
        <w:spacing w:line="240" w:lineRule="auto"/>
      </w:pPr>
      <w:r>
        <w:separator/>
      </w:r>
    </w:p>
  </w:footnote>
  <w:footnote w:type="continuationSeparator" w:id="0">
    <w:p w14:paraId="5B49BF57" w14:textId="77777777" w:rsidR="00A85FF1" w:rsidRDefault="00A85FF1" w:rsidP="00CF1577">
      <w:pPr>
        <w:spacing w:line="240" w:lineRule="auto"/>
      </w:pPr>
      <w:r>
        <w:continuationSeparator/>
      </w:r>
    </w:p>
  </w:footnote>
  <w:footnote w:id="1">
    <w:p w14:paraId="5946A1AD" w14:textId="439D2D10" w:rsidR="00DE44AE" w:rsidRPr="00DE44AE" w:rsidRDefault="00DE44AE" w:rsidP="00DE44AE">
      <w:pPr>
        <w:pStyle w:val="Textonotapie"/>
      </w:pPr>
      <w:r w:rsidRPr="00DE44AE">
        <w:rPr>
          <w:rStyle w:val="Refdenotaalpie"/>
          <w:vertAlign w:val="baseline"/>
        </w:rPr>
        <w:tab/>
        <w:t>*</w:t>
      </w:r>
      <w:r w:rsidRPr="00DE44AE">
        <w:rPr>
          <w:rStyle w:val="Refdenotaalpie"/>
          <w:vertAlign w:val="baseline"/>
        </w:rPr>
        <w:tab/>
      </w:r>
      <w:r w:rsidRPr="00DE44AE">
        <w:t>Adopted by the Committee at its eighty-fifth session (8-26 May 2023).</w:t>
      </w:r>
    </w:p>
  </w:footnote>
  <w:footnote w:id="2">
    <w:p w14:paraId="54F27B39" w14:textId="37EFD011" w:rsidR="007B601B" w:rsidRPr="00E24AAB" w:rsidRDefault="00D7021D" w:rsidP="007B601B">
      <w:pPr>
        <w:pStyle w:val="Textonotapie"/>
        <w:rPr>
          <w:w w:val="101"/>
        </w:rPr>
      </w:pPr>
      <w:r>
        <w:tab/>
      </w:r>
      <w:r w:rsidR="00CF1577" w:rsidRPr="00147386">
        <w:rPr>
          <w:rStyle w:val="Refdenotaalpie"/>
          <w:sz w:val="16"/>
        </w:rPr>
        <w:footnoteRef/>
      </w:r>
      <w:r w:rsidR="00CF1577">
        <w:tab/>
      </w:r>
      <w:r w:rsidR="00CF1577" w:rsidRPr="00E24AAB">
        <w:rPr>
          <w:w w:val="101"/>
        </w:rPr>
        <w:t xml:space="preserve">The International Covenant on Economic, Social and Cultural Rights; the International Covenant on Civil and Political Rights; the International Convention on the Elimination of All Forms of Racial Discrimination; the Convention on the Elimination of All Forms of Discrimination against Women; the Convention against Torture and Other Cruel, Inhuman or Degrading Treatment or Punishment; the Convention on the Rights of the Child; the International Convention on the Protection of the Rights of All Migrant Workers and Members of Their Families; the International Convention </w:t>
      </w:r>
      <w:bookmarkStart w:id="2" w:name="_Hlk134706237"/>
      <w:r w:rsidR="00CF1577" w:rsidRPr="00E24AAB">
        <w:rPr>
          <w:w w:val="101"/>
        </w:rPr>
        <w:t>for the Protection of All Persons from Enforced Disappearance</w:t>
      </w:r>
      <w:bookmarkEnd w:id="2"/>
      <w:r w:rsidR="00CF1577" w:rsidRPr="00E24AAB">
        <w:rPr>
          <w:w w:val="101"/>
        </w:rPr>
        <w:t>; and the Convention on the Rights of Persons with Disabilities.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683C" w14:textId="77777777" w:rsidR="008C69AC" w:rsidRDefault="00722909">
    <w:pPr>
      <w:pStyle w:val="Encabezado"/>
    </w:pPr>
    <w:r>
      <w:t>CEDAW/C/VEN/CO/R.9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7D4A" w14:textId="3591F560" w:rsidR="008C69AC" w:rsidRDefault="00722909">
    <w:pPr>
      <w:pStyle w:val="Encabezado"/>
      <w:jc w:val="right"/>
    </w:pPr>
    <w:r>
      <w:t>CEDAW/C/VEN/CO/9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B362816"/>
    <w:lvl w:ilvl="0" w:tplc="8146C94A">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CF047AEE" w:tentative="1">
      <w:start w:val="1"/>
      <w:numFmt w:val="lowerLetter"/>
      <w:lvlText w:val="%2."/>
      <w:lvlJc w:val="left"/>
      <w:pPr>
        <w:tabs>
          <w:tab w:val="num" w:pos="1440"/>
        </w:tabs>
        <w:ind w:left="1440" w:hanging="360"/>
      </w:pPr>
    </w:lvl>
    <w:lvl w:ilvl="2" w:tplc="98463D26" w:tentative="1">
      <w:start w:val="1"/>
      <w:numFmt w:val="lowerRoman"/>
      <w:lvlText w:val="%3."/>
      <w:lvlJc w:val="right"/>
      <w:pPr>
        <w:tabs>
          <w:tab w:val="num" w:pos="2160"/>
        </w:tabs>
        <w:ind w:left="2160" w:hanging="180"/>
      </w:pPr>
    </w:lvl>
    <w:lvl w:ilvl="3" w:tplc="60FAD6D6" w:tentative="1">
      <w:start w:val="1"/>
      <w:numFmt w:val="decimal"/>
      <w:lvlText w:val="%4."/>
      <w:lvlJc w:val="left"/>
      <w:pPr>
        <w:tabs>
          <w:tab w:val="num" w:pos="2880"/>
        </w:tabs>
        <w:ind w:left="2880" w:hanging="360"/>
      </w:pPr>
    </w:lvl>
    <w:lvl w:ilvl="4" w:tplc="50925A2A" w:tentative="1">
      <w:start w:val="1"/>
      <w:numFmt w:val="lowerLetter"/>
      <w:lvlText w:val="%5."/>
      <w:lvlJc w:val="left"/>
      <w:pPr>
        <w:tabs>
          <w:tab w:val="num" w:pos="3600"/>
        </w:tabs>
        <w:ind w:left="3600" w:hanging="360"/>
      </w:pPr>
    </w:lvl>
    <w:lvl w:ilvl="5" w:tplc="724654EE" w:tentative="1">
      <w:start w:val="1"/>
      <w:numFmt w:val="lowerRoman"/>
      <w:lvlText w:val="%6."/>
      <w:lvlJc w:val="right"/>
      <w:pPr>
        <w:tabs>
          <w:tab w:val="num" w:pos="4320"/>
        </w:tabs>
        <w:ind w:left="4320" w:hanging="180"/>
      </w:pPr>
    </w:lvl>
    <w:lvl w:ilvl="6" w:tplc="8EDAE10E" w:tentative="1">
      <w:start w:val="1"/>
      <w:numFmt w:val="decimal"/>
      <w:lvlText w:val="%7."/>
      <w:lvlJc w:val="left"/>
      <w:pPr>
        <w:tabs>
          <w:tab w:val="num" w:pos="5040"/>
        </w:tabs>
        <w:ind w:left="5040" w:hanging="360"/>
      </w:pPr>
    </w:lvl>
    <w:lvl w:ilvl="7" w:tplc="95F8DE62" w:tentative="1">
      <w:start w:val="1"/>
      <w:numFmt w:val="lowerLetter"/>
      <w:lvlText w:val="%8."/>
      <w:lvlJc w:val="left"/>
      <w:pPr>
        <w:tabs>
          <w:tab w:val="num" w:pos="5760"/>
        </w:tabs>
        <w:ind w:left="5760" w:hanging="360"/>
      </w:pPr>
    </w:lvl>
    <w:lvl w:ilvl="8" w:tplc="D78CAAAA" w:tentative="1">
      <w:start w:val="1"/>
      <w:numFmt w:val="lowerRoman"/>
      <w:lvlText w:val="%9."/>
      <w:lvlJc w:val="right"/>
      <w:pPr>
        <w:tabs>
          <w:tab w:val="num" w:pos="6480"/>
        </w:tabs>
        <w:ind w:left="6480" w:hanging="180"/>
      </w:pPr>
    </w:lvl>
  </w:abstractNum>
  <w:abstractNum w:abstractNumId="11" w15:restartNumberingAfterBreak="0">
    <w:nsid w:val="119F3DDA"/>
    <w:multiLevelType w:val="hybridMultilevel"/>
    <w:tmpl w:val="DEE2FFFC"/>
    <w:lvl w:ilvl="0" w:tplc="5944EA52">
      <w:start w:val="1"/>
      <w:numFmt w:val="lowerLetter"/>
      <w:lvlText w:val="(%1)"/>
      <w:lvlJc w:val="left"/>
      <w:pPr>
        <w:ind w:left="1564" w:hanging="43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3ACF4EB2"/>
    <w:multiLevelType w:val="hybridMultilevel"/>
    <w:tmpl w:val="CB6C816A"/>
    <w:lvl w:ilvl="0" w:tplc="C08C65A6">
      <w:start w:val="1"/>
      <w:numFmt w:val="bullet"/>
      <w:pStyle w:val="Bullet2G"/>
      <w:lvlText w:val="•"/>
      <w:lvlJc w:val="left"/>
      <w:pPr>
        <w:tabs>
          <w:tab w:val="num" w:pos="2268"/>
        </w:tabs>
        <w:ind w:left="2268" w:hanging="170"/>
      </w:pPr>
      <w:rPr>
        <w:rFonts w:ascii="Times New Roman" w:hAnsi="Times New Roman" w:cs="Times New Roman" w:hint="default"/>
      </w:rPr>
    </w:lvl>
    <w:lvl w:ilvl="1" w:tplc="23A24312" w:tentative="1">
      <w:start w:val="1"/>
      <w:numFmt w:val="bullet"/>
      <w:lvlText w:val="o"/>
      <w:lvlJc w:val="left"/>
      <w:pPr>
        <w:tabs>
          <w:tab w:val="num" w:pos="3708"/>
        </w:tabs>
        <w:ind w:left="3708" w:hanging="360"/>
      </w:pPr>
      <w:rPr>
        <w:rFonts w:ascii="Courier New" w:hAnsi="Courier New" w:hint="default"/>
      </w:rPr>
    </w:lvl>
    <w:lvl w:ilvl="2" w:tplc="97B68D5A" w:tentative="1">
      <w:start w:val="1"/>
      <w:numFmt w:val="bullet"/>
      <w:lvlText w:val=""/>
      <w:lvlJc w:val="left"/>
      <w:pPr>
        <w:tabs>
          <w:tab w:val="num" w:pos="4428"/>
        </w:tabs>
        <w:ind w:left="4428" w:hanging="360"/>
      </w:pPr>
      <w:rPr>
        <w:rFonts w:ascii="Wingdings" w:hAnsi="Wingdings" w:hint="default"/>
      </w:rPr>
    </w:lvl>
    <w:lvl w:ilvl="3" w:tplc="4BAEBAE4" w:tentative="1">
      <w:start w:val="1"/>
      <w:numFmt w:val="bullet"/>
      <w:lvlText w:val=""/>
      <w:lvlJc w:val="left"/>
      <w:pPr>
        <w:tabs>
          <w:tab w:val="num" w:pos="5148"/>
        </w:tabs>
        <w:ind w:left="5148" w:hanging="360"/>
      </w:pPr>
      <w:rPr>
        <w:rFonts w:ascii="Symbol" w:hAnsi="Symbol" w:hint="default"/>
      </w:rPr>
    </w:lvl>
    <w:lvl w:ilvl="4" w:tplc="4620BE2C" w:tentative="1">
      <w:start w:val="1"/>
      <w:numFmt w:val="bullet"/>
      <w:lvlText w:val="o"/>
      <w:lvlJc w:val="left"/>
      <w:pPr>
        <w:tabs>
          <w:tab w:val="num" w:pos="5868"/>
        </w:tabs>
        <w:ind w:left="5868" w:hanging="360"/>
      </w:pPr>
      <w:rPr>
        <w:rFonts w:ascii="Courier New" w:hAnsi="Courier New" w:hint="default"/>
      </w:rPr>
    </w:lvl>
    <w:lvl w:ilvl="5" w:tplc="31FC0C32" w:tentative="1">
      <w:start w:val="1"/>
      <w:numFmt w:val="bullet"/>
      <w:lvlText w:val=""/>
      <w:lvlJc w:val="left"/>
      <w:pPr>
        <w:tabs>
          <w:tab w:val="num" w:pos="6588"/>
        </w:tabs>
        <w:ind w:left="6588" w:hanging="360"/>
      </w:pPr>
      <w:rPr>
        <w:rFonts w:ascii="Wingdings" w:hAnsi="Wingdings" w:hint="default"/>
      </w:rPr>
    </w:lvl>
    <w:lvl w:ilvl="6" w:tplc="3B465900" w:tentative="1">
      <w:start w:val="1"/>
      <w:numFmt w:val="bullet"/>
      <w:lvlText w:val=""/>
      <w:lvlJc w:val="left"/>
      <w:pPr>
        <w:tabs>
          <w:tab w:val="num" w:pos="7308"/>
        </w:tabs>
        <w:ind w:left="7308" w:hanging="360"/>
      </w:pPr>
      <w:rPr>
        <w:rFonts w:ascii="Symbol" w:hAnsi="Symbol" w:hint="default"/>
      </w:rPr>
    </w:lvl>
    <w:lvl w:ilvl="7" w:tplc="C7301230" w:tentative="1">
      <w:start w:val="1"/>
      <w:numFmt w:val="bullet"/>
      <w:lvlText w:val="o"/>
      <w:lvlJc w:val="left"/>
      <w:pPr>
        <w:tabs>
          <w:tab w:val="num" w:pos="8028"/>
        </w:tabs>
        <w:ind w:left="8028" w:hanging="360"/>
      </w:pPr>
      <w:rPr>
        <w:rFonts w:ascii="Courier New" w:hAnsi="Courier New" w:hint="default"/>
      </w:rPr>
    </w:lvl>
    <w:lvl w:ilvl="8" w:tplc="1E20179C" w:tentative="1">
      <w:start w:val="1"/>
      <w:numFmt w:val="bullet"/>
      <w:lvlText w:val=""/>
      <w:lvlJc w:val="left"/>
      <w:pPr>
        <w:tabs>
          <w:tab w:val="num" w:pos="8748"/>
        </w:tabs>
        <w:ind w:left="8748" w:hanging="360"/>
      </w:pPr>
      <w:rPr>
        <w:rFonts w:ascii="Wingdings" w:hAnsi="Wingdings" w:hint="default"/>
      </w:rPr>
    </w:lvl>
  </w:abstractNum>
  <w:abstractNum w:abstractNumId="13" w15:restartNumberingAfterBreak="0">
    <w:nsid w:val="44DD0BF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6664D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AD07B2"/>
    <w:multiLevelType w:val="hybridMultilevel"/>
    <w:tmpl w:val="7FEE3222"/>
    <w:lvl w:ilvl="0" w:tplc="2A488078">
      <w:start w:val="1"/>
      <w:numFmt w:val="bullet"/>
      <w:pStyle w:val="Bullet1G"/>
      <w:lvlText w:val="•"/>
      <w:lvlJc w:val="left"/>
      <w:pPr>
        <w:tabs>
          <w:tab w:val="num" w:pos="1701"/>
        </w:tabs>
        <w:ind w:left="1701" w:hanging="170"/>
      </w:pPr>
      <w:rPr>
        <w:rFonts w:ascii="Times New Roman" w:hAnsi="Times New Roman" w:cs="Times New Roman" w:hint="default"/>
      </w:rPr>
    </w:lvl>
    <w:lvl w:ilvl="1" w:tplc="EFB0EEB6" w:tentative="1">
      <w:start w:val="1"/>
      <w:numFmt w:val="bullet"/>
      <w:lvlText w:val="o"/>
      <w:lvlJc w:val="left"/>
      <w:pPr>
        <w:tabs>
          <w:tab w:val="num" w:pos="3141"/>
        </w:tabs>
        <w:ind w:left="3141" w:hanging="360"/>
      </w:pPr>
      <w:rPr>
        <w:rFonts w:ascii="Courier New" w:hAnsi="Courier New" w:hint="default"/>
      </w:rPr>
    </w:lvl>
    <w:lvl w:ilvl="2" w:tplc="6BA866AA" w:tentative="1">
      <w:start w:val="1"/>
      <w:numFmt w:val="bullet"/>
      <w:lvlText w:val=""/>
      <w:lvlJc w:val="left"/>
      <w:pPr>
        <w:tabs>
          <w:tab w:val="num" w:pos="3861"/>
        </w:tabs>
        <w:ind w:left="3861" w:hanging="360"/>
      </w:pPr>
      <w:rPr>
        <w:rFonts w:ascii="Wingdings" w:hAnsi="Wingdings" w:hint="default"/>
      </w:rPr>
    </w:lvl>
    <w:lvl w:ilvl="3" w:tplc="DE167F12" w:tentative="1">
      <w:start w:val="1"/>
      <w:numFmt w:val="bullet"/>
      <w:lvlText w:val=""/>
      <w:lvlJc w:val="left"/>
      <w:pPr>
        <w:tabs>
          <w:tab w:val="num" w:pos="4581"/>
        </w:tabs>
        <w:ind w:left="4581" w:hanging="360"/>
      </w:pPr>
      <w:rPr>
        <w:rFonts w:ascii="Symbol" w:hAnsi="Symbol" w:hint="default"/>
      </w:rPr>
    </w:lvl>
    <w:lvl w:ilvl="4" w:tplc="35E04E12" w:tentative="1">
      <w:start w:val="1"/>
      <w:numFmt w:val="bullet"/>
      <w:lvlText w:val="o"/>
      <w:lvlJc w:val="left"/>
      <w:pPr>
        <w:tabs>
          <w:tab w:val="num" w:pos="5301"/>
        </w:tabs>
        <w:ind w:left="5301" w:hanging="360"/>
      </w:pPr>
      <w:rPr>
        <w:rFonts w:ascii="Courier New" w:hAnsi="Courier New" w:hint="default"/>
      </w:rPr>
    </w:lvl>
    <w:lvl w:ilvl="5" w:tplc="6A1A04A4" w:tentative="1">
      <w:start w:val="1"/>
      <w:numFmt w:val="bullet"/>
      <w:lvlText w:val=""/>
      <w:lvlJc w:val="left"/>
      <w:pPr>
        <w:tabs>
          <w:tab w:val="num" w:pos="6021"/>
        </w:tabs>
        <w:ind w:left="6021" w:hanging="360"/>
      </w:pPr>
      <w:rPr>
        <w:rFonts w:ascii="Wingdings" w:hAnsi="Wingdings" w:hint="default"/>
      </w:rPr>
    </w:lvl>
    <w:lvl w:ilvl="6" w:tplc="6A4EB522" w:tentative="1">
      <w:start w:val="1"/>
      <w:numFmt w:val="bullet"/>
      <w:lvlText w:val=""/>
      <w:lvlJc w:val="left"/>
      <w:pPr>
        <w:tabs>
          <w:tab w:val="num" w:pos="6741"/>
        </w:tabs>
        <w:ind w:left="6741" w:hanging="360"/>
      </w:pPr>
      <w:rPr>
        <w:rFonts w:ascii="Symbol" w:hAnsi="Symbol" w:hint="default"/>
      </w:rPr>
    </w:lvl>
    <w:lvl w:ilvl="7" w:tplc="492A3ACA" w:tentative="1">
      <w:start w:val="1"/>
      <w:numFmt w:val="bullet"/>
      <w:lvlText w:val="o"/>
      <w:lvlJc w:val="left"/>
      <w:pPr>
        <w:tabs>
          <w:tab w:val="num" w:pos="7461"/>
        </w:tabs>
        <w:ind w:left="7461" w:hanging="360"/>
      </w:pPr>
      <w:rPr>
        <w:rFonts w:ascii="Courier New" w:hAnsi="Courier New" w:hint="default"/>
      </w:rPr>
    </w:lvl>
    <w:lvl w:ilvl="8" w:tplc="BDE23970" w:tentative="1">
      <w:start w:val="1"/>
      <w:numFmt w:val="bullet"/>
      <w:lvlText w:val=""/>
      <w:lvlJc w:val="left"/>
      <w:pPr>
        <w:tabs>
          <w:tab w:val="num" w:pos="8181"/>
        </w:tabs>
        <w:ind w:left="8181" w:hanging="360"/>
      </w:pPr>
      <w:rPr>
        <w:rFonts w:ascii="Wingdings" w:hAnsi="Wingdings" w:hint="default"/>
      </w:rPr>
    </w:lvl>
  </w:abstractNum>
  <w:abstractNum w:abstractNumId="1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08108947">
    <w:abstractNumId w:val="16"/>
  </w:num>
  <w:num w:numId="2" w16cid:durableId="1590196149">
    <w:abstractNumId w:val="12"/>
  </w:num>
  <w:num w:numId="3" w16cid:durableId="475101477">
    <w:abstractNumId w:val="10"/>
  </w:num>
  <w:num w:numId="4" w16cid:durableId="1420518084">
    <w:abstractNumId w:val="8"/>
  </w:num>
  <w:num w:numId="5" w16cid:durableId="1140071794">
    <w:abstractNumId w:val="3"/>
  </w:num>
  <w:num w:numId="6" w16cid:durableId="1224946342">
    <w:abstractNumId w:val="2"/>
  </w:num>
  <w:num w:numId="7" w16cid:durableId="1018578789">
    <w:abstractNumId w:val="1"/>
  </w:num>
  <w:num w:numId="8" w16cid:durableId="1003776803">
    <w:abstractNumId w:val="0"/>
  </w:num>
  <w:num w:numId="9" w16cid:durableId="1697654819">
    <w:abstractNumId w:val="9"/>
  </w:num>
  <w:num w:numId="10" w16cid:durableId="8146768">
    <w:abstractNumId w:val="7"/>
  </w:num>
  <w:num w:numId="11" w16cid:durableId="146434263">
    <w:abstractNumId w:val="6"/>
  </w:num>
  <w:num w:numId="12" w16cid:durableId="1503666073">
    <w:abstractNumId w:val="5"/>
  </w:num>
  <w:num w:numId="13" w16cid:durableId="1650012644">
    <w:abstractNumId w:val="4"/>
  </w:num>
  <w:num w:numId="14" w16cid:durableId="617642504">
    <w:abstractNumId w:val="13"/>
  </w:num>
  <w:num w:numId="15" w16cid:durableId="1279293219">
    <w:abstractNumId w:val="15"/>
  </w:num>
  <w:num w:numId="16" w16cid:durableId="1291127798">
    <w:abstractNumId w:val="14"/>
  </w:num>
  <w:num w:numId="17" w16cid:durableId="306319393">
    <w:abstractNumId w:val="17"/>
  </w:num>
  <w:num w:numId="18" w16cid:durableId="19498930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77"/>
    <w:rsid w:val="00015F71"/>
    <w:rsid w:val="00016ED5"/>
    <w:rsid w:val="00026475"/>
    <w:rsid w:val="000319CA"/>
    <w:rsid w:val="00033525"/>
    <w:rsid w:val="0004149A"/>
    <w:rsid w:val="00042D9B"/>
    <w:rsid w:val="00055908"/>
    <w:rsid w:val="00060B5A"/>
    <w:rsid w:val="000758A7"/>
    <w:rsid w:val="0007614A"/>
    <w:rsid w:val="00082774"/>
    <w:rsid w:val="000827B1"/>
    <w:rsid w:val="00085EF1"/>
    <w:rsid w:val="00093EB1"/>
    <w:rsid w:val="000B6BCC"/>
    <w:rsid w:val="000C78A5"/>
    <w:rsid w:val="000D457D"/>
    <w:rsid w:val="000E27D0"/>
    <w:rsid w:val="000E37A4"/>
    <w:rsid w:val="000E7B12"/>
    <w:rsid w:val="000F375A"/>
    <w:rsid w:val="00102830"/>
    <w:rsid w:val="00106E09"/>
    <w:rsid w:val="00114B1B"/>
    <w:rsid w:val="00140BF1"/>
    <w:rsid w:val="0016319C"/>
    <w:rsid w:val="00174DD5"/>
    <w:rsid w:val="0018151A"/>
    <w:rsid w:val="001C485B"/>
    <w:rsid w:val="001C70BC"/>
    <w:rsid w:val="001F5565"/>
    <w:rsid w:val="00213BE9"/>
    <w:rsid w:val="00235936"/>
    <w:rsid w:val="00240C0A"/>
    <w:rsid w:val="00254621"/>
    <w:rsid w:val="00254D70"/>
    <w:rsid w:val="002723C8"/>
    <w:rsid w:val="00285DD4"/>
    <w:rsid w:val="00287791"/>
    <w:rsid w:val="00293B46"/>
    <w:rsid w:val="00295251"/>
    <w:rsid w:val="002B1285"/>
    <w:rsid w:val="002B4233"/>
    <w:rsid w:val="002C14CB"/>
    <w:rsid w:val="002C1DD6"/>
    <w:rsid w:val="002C6643"/>
    <w:rsid w:val="002E10F5"/>
    <w:rsid w:val="00305E5E"/>
    <w:rsid w:val="003115EA"/>
    <w:rsid w:val="0031786F"/>
    <w:rsid w:val="00321A28"/>
    <w:rsid w:val="003226DE"/>
    <w:rsid w:val="00340282"/>
    <w:rsid w:val="0037198A"/>
    <w:rsid w:val="00371DDE"/>
    <w:rsid w:val="00383504"/>
    <w:rsid w:val="00384EAD"/>
    <w:rsid w:val="00384FFF"/>
    <w:rsid w:val="003A4FB0"/>
    <w:rsid w:val="003B3779"/>
    <w:rsid w:val="003F0BDC"/>
    <w:rsid w:val="00412403"/>
    <w:rsid w:val="004379F3"/>
    <w:rsid w:val="00441592"/>
    <w:rsid w:val="00461891"/>
    <w:rsid w:val="004622CC"/>
    <w:rsid w:val="00471128"/>
    <w:rsid w:val="00482387"/>
    <w:rsid w:val="0048493B"/>
    <w:rsid w:val="00487615"/>
    <w:rsid w:val="004A1A06"/>
    <w:rsid w:val="004C0FD0"/>
    <w:rsid w:val="004C2C1C"/>
    <w:rsid w:val="004C437B"/>
    <w:rsid w:val="005071F8"/>
    <w:rsid w:val="005133ED"/>
    <w:rsid w:val="0051699F"/>
    <w:rsid w:val="00562044"/>
    <w:rsid w:val="0056453D"/>
    <w:rsid w:val="005C59D9"/>
    <w:rsid w:val="005E2D72"/>
    <w:rsid w:val="005E3733"/>
    <w:rsid w:val="005F1474"/>
    <w:rsid w:val="005F3A4C"/>
    <w:rsid w:val="00603EC4"/>
    <w:rsid w:val="00623844"/>
    <w:rsid w:val="00625BCE"/>
    <w:rsid w:val="006468BB"/>
    <w:rsid w:val="00662EE6"/>
    <w:rsid w:val="00682519"/>
    <w:rsid w:val="006A322D"/>
    <w:rsid w:val="006A6233"/>
    <w:rsid w:val="006B23C8"/>
    <w:rsid w:val="006C2E30"/>
    <w:rsid w:val="006F00E5"/>
    <w:rsid w:val="006F29F6"/>
    <w:rsid w:val="0070650B"/>
    <w:rsid w:val="00722909"/>
    <w:rsid w:val="00731DC6"/>
    <w:rsid w:val="00731E43"/>
    <w:rsid w:val="007336C8"/>
    <w:rsid w:val="007433A8"/>
    <w:rsid w:val="00763C47"/>
    <w:rsid w:val="0077216D"/>
    <w:rsid w:val="00782ECF"/>
    <w:rsid w:val="007966DD"/>
    <w:rsid w:val="007B601B"/>
    <w:rsid w:val="007C2795"/>
    <w:rsid w:val="007D6C6F"/>
    <w:rsid w:val="007E1985"/>
    <w:rsid w:val="007F0550"/>
    <w:rsid w:val="007F2BF5"/>
    <w:rsid w:val="00802931"/>
    <w:rsid w:val="008140BC"/>
    <w:rsid w:val="00814D52"/>
    <w:rsid w:val="00817805"/>
    <w:rsid w:val="0083210E"/>
    <w:rsid w:val="00832951"/>
    <w:rsid w:val="00840207"/>
    <w:rsid w:val="00842301"/>
    <w:rsid w:val="00890B2C"/>
    <w:rsid w:val="008A182F"/>
    <w:rsid w:val="008C08B8"/>
    <w:rsid w:val="008E04DB"/>
    <w:rsid w:val="008F7FEF"/>
    <w:rsid w:val="00920070"/>
    <w:rsid w:val="00922B61"/>
    <w:rsid w:val="00926A6C"/>
    <w:rsid w:val="00927158"/>
    <w:rsid w:val="009461F3"/>
    <w:rsid w:val="0097283B"/>
    <w:rsid w:val="00984183"/>
    <w:rsid w:val="009863D3"/>
    <w:rsid w:val="009B4092"/>
    <w:rsid w:val="009C1D07"/>
    <w:rsid w:val="009C78DE"/>
    <w:rsid w:val="009D35A1"/>
    <w:rsid w:val="009E24B7"/>
    <w:rsid w:val="00A30ADE"/>
    <w:rsid w:val="00A36FE1"/>
    <w:rsid w:val="00A45E7E"/>
    <w:rsid w:val="00A5530A"/>
    <w:rsid w:val="00A65A4E"/>
    <w:rsid w:val="00A81F2D"/>
    <w:rsid w:val="00A825E8"/>
    <w:rsid w:val="00A85FF1"/>
    <w:rsid w:val="00A91C5A"/>
    <w:rsid w:val="00AA3F58"/>
    <w:rsid w:val="00AB6C80"/>
    <w:rsid w:val="00AC31A9"/>
    <w:rsid w:val="00AD46F8"/>
    <w:rsid w:val="00AE15DA"/>
    <w:rsid w:val="00AE1616"/>
    <w:rsid w:val="00AE1883"/>
    <w:rsid w:val="00AE1A97"/>
    <w:rsid w:val="00AF4973"/>
    <w:rsid w:val="00AF6BB1"/>
    <w:rsid w:val="00B22BF0"/>
    <w:rsid w:val="00B348EA"/>
    <w:rsid w:val="00B40DAF"/>
    <w:rsid w:val="00B43F9D"/>
    <w:rsid w:val="00B50651"/>
    <w:rsid w:val="00B574C1"/>
    <w:rsid w:val="00B61316"/>
    <w:rsid w:val="00B74C6E"/>
    <w:rsid w:val="00B800C2"/>
    <w:rsid w:val="00B81756"/>
    <w:rsid w:val="00B92FC3"/>
    <w:rsid w:val="00BA310B"/>
    <w:rsid w:val="00BA5CB8"/>
    <w:rsid w:val="00BC4743"/>
    <w:rsid w:val="00C029C1"/>
    <w:rsid w:val="00C0466E"/>
    <w:rsid w:val="00C2774E"/>
    <w:rsid w:val="00C3468D"/>
    <w:rsid w:val="00C43CDA"/>
    <w:rsid w:val="00C509A3"/>
    <w:rsid w:val="00C5347B"/>
    <w:rsid w:val="00C97FDE"/>
    <w:rsid w:val="00CA2152"/>
    <w:rsid w:val="00CB12A5"/>
    <w:rsid w:val="00CB15E4"/>
    <w:rsid w:val="00CB5CFA"/>
    <w:rsid w:val="00CD7167"/>
    <w:rsid w:val="00CE322C"/>
    <w:rsid w:val="00CF1577"/>
    <w:rsid w:val="00CF46E2"/>
    <w:rsid w:val="00D13807"/>
    <w:rsid w:val="00D159E7"/>
    <w:rsid w:val="00D23600"/>
    <w:rsid w:val="00D24FCF"/>
    <w:rsid w:val="00D4446E"/>
    <w:rsid w:val="00D53DCE"/>
    <w:rsid w:val="00D7021D"/>
    <w:rsid w:val="00D70DFE"/>
    <w:rsid w:val="00D81F2C"/>
    <w:rsid w:val="00D82BFA"/>
    <w:rsid w:val="00D96360"/>
    <w:rsid w:val="00DA435F"/>
    <w:rsid w:val="00DA6B78"/>
    <w:rsid w:val="00DB4E84"/>
    <w:rsid w:val="00DE3372"/>
    <w:rsid w:val="00DE44AE"/>
    <w:rsid w:val="00E0403E"/>
    <w:rsid w:val="00E171EF"/>
    <w:rsid w:val="00E35FCA"/>
    <w:rsid w:val="00E530C2"/>
    <w:rsid w:val="00E543A0"/>
    <w:rsid w:val="00E57D1C"/>
    <w:rsid w:val="00E60ACD"/>
    <w:rsid w:val="00E66FA4"/>
    <w:rsid w:val="00E867EB"/>
    <w:rsid w:val="00E91351"/>
    <w:rsid w:val="00EB1BBE"/>
    <w:rsid w:val="00EB47B5"/>
    <w:rsid w:val="00ED25F9"/>
    <w:rsid w:val="00ED7734"/>
    <w:rsid w:val="00EE1182"/>
    <w:rsid w:val="00EE11BF"/>
    <w:rsid w:val="00EE1BC2"/>
    <w:rsid w:val="00F01675"/>
    <w:rsid w:val="00F022B1"/>
    <w:rsid w:val="00F36332"/>
    <w:rsid w:val="00F446BD"/>
    <w:rsid w:val="00F761FC"/>
    <w:rsid w:val="00F84698"/>
    <w:rsid w:val="00FB386C"/>
    <w:rsid w:val="00FC0959"/>
    <w:rsid w:val="00FD0661"/>
    <w:rsid w:val="00FD43E6"/>
    <w:rsid w:val="00FE2B7C"/>
    <w:rsid w:val="00FE5A99"/>
    <w:rsid w:val="00FF5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1D722"/>
  <w15:chartTrackingRefBased/>
  <w15:docId w15:val="{7C6B6A65-0475-40DE-8D82-AE532057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577"/>
    <w:pPr>
      <w:suppressAutoHyphens/>
      <w:spacing w:after="0" w:line="240" w:lineRule="atLeast"/>
    </w:pPr>
    <w:rPr>
      <w:rFonts w:ascii="Times New Roman" w:eastAsia="Times New Roman" w:hAnsi="Times New Roman" w:cs="Times New Roman"/>
      <w:sz w:val="20"/>
      <w:szCs w:val="20"/>
    </w:rPr>
  </w:style>
  <w:style w:type="paragraph" w:styleId="Ttulo1">
    <w:name w:val="heading 1"/>
    <w:aliases w:val="Table_G"/>
    <w:basedOn w:val="SingleTxtG"/>
    <w:next w:val="SingleTxtG"/>
    <w:link w:val="Ttulo1Car"/>
    <w:qFormat/>
    <w:rsid w:val="00CF1577"/>
    <w:pPr>
      <w:keepNext/>
      <w:keepLines/>
      <w:spacing w:after="0" w:line="240" w:lineRule="auto"/>
      <w:ind w:right="0"/>
      <w:jc w:val="left"/>
      <w:outlineLvl w:val="0"/>
    </w:pPr>
  </w:style>
  <w:style w:type="paragraph" w:styleId="Ttulo2">
    <w:name w:val="heading 2"/>
    <w:basedOn w:val="Normal"/>
    <w:next w:val="Normal"/>
    <w:link w:val="Ttulo2Car"/>
    <w:semiHidden/>
    <w:qFormat/>
    <w:rsid w:val="00CF1577"/>
    <w:pPr>
      <w:kinsoku w:val="0"/>
      <w:overflowPunct w:val="0"/>
      <w:autoSpaceDE w:val="0"/>
      <w:autoSpaceDN w:val="0"/>
      <w:adjustRightInd w:val="0"/>
      <w:snapToGrid w:val="0"/>
      <w:outlineLvl w:val="1"/>
    </w:pPr>
    <w:rPr>
      <w:rFonts w:eastAsiaTheme="minorHAnsi"/>
      <w:lang w:val="fr-CH"/>
    </w:rPr>
  </w:style>
  <w:style w:type="paragraph" w:styleId="Ttulo3">
    <w:name w:val="heading 3"/>
    <w:basedOn w:val="Normal"/>
    <w:next w:val="Normal"/>
    <w:link w:val="Ttulo3Car"/>
    <w:semiHidden/>
    <w:qFormat/>
    <w:rsid w:val="00CF1577"/>
    <w:pPr>
      <w:kinsoku w:val="0"/>
      <w:overflowPunct w:val="0"/>
      <w:autoSpaceDE w:val="0"/>
      <w:autoSpaceDN w:val="0"/>
      <w:adjustRightInd w:val="0"/>
      <w:snapToGrid w:val="0"/>
      <w:outlineLvl w:val="2"/>
    </w:pPr>
    <w:rPr>
      <w:rFonts w:eastAsiaTheme="minorHAnsi"/>
      <w:lang w:val="fr-CH"/>
    </w:rPr>
  </w:style>
  <w:style w:type="paragraph" w:styleId="Ttulo4">
    <w:name w:val="heading 4"/>
    <w:basedOn w:val="Normal"/>
    <w:next w:val="Normal"/>
    <w:link w:val="Ttulo4Car"/>
    <w:semiHidden/>
    <w:qFormat/>
    <w:rsid w:val="00CF1577"/>
    <w:pPr>
      <w:kinsoku w:val="0"/>
      <w:overflowPunct w:val="0"/>
      <w:autoSpaceDE w:val="0"/>
      <w:autoSpaceDN w:val="0"/>
      <w:adjustRightInd w:val="0"/>
      <w:snapToGrid w:val="0"/>
      <w:outlineLvl w:val="3"/>
    </w:pPr>
    <w:rPr>
      <w:rFonts w:eastAsiaTheme="minorHAnsi"/>
      <w:lang w:val="fr-CH"/>
    </w:rPr>
  </w:style>
  <w:style w:type="paragraph" w:styleId="Ttulo5">
    <w:name w:val="heading 5"/>
    <w:basedOn w:val="Normal"/>
    <w:next w:val="Normal"/>
    <w:link w:val="Ttulo5Car"/>
    <w:semiHidden/>
    <w:qFormat/>
    <w:rsid w:val="00CF1577"/>
    <w:pPr>
      <w:kinsoku w:val="0"/>
      <w:overflowPunct w:val="0"/>
      <w:autoSpaceDE w:val="0"/>
      <w:autoSpaceDN w:val="0"/>
      <w:adjustRightInd w:val="0"/>
      <w:snapToGrid w:val="0"/>
      <w:outlineLvl w:val="4"/>
    </w:pPr>
    <w:rPr>
      <w:rFonts w:eastAsiaTheme="minorHAnsi"/>
      <w:lang w:val="fr-CH"/>
    </w:rPr>
  </w:style>
  <w:style w:type="paragraph" w:styleId="Ttulo6">
    <w:name w:val="heading 6"/>
    <w:basedOn w:val="Normal"/>
    <w:next w:val="Normal"/>
    <w:link w:val="Ttulo6Car"/>
    <w:semiHidden/>
    <w:qFormat/>
    <w:rsid w:val="00CF1577"/>
    <w:pPr>
      <w:kinsoku w:val="0"/>
      <w:overflowPunct w:val="0"/>
      <w:autoSpaceDE w:val="0"/>
      <w:autoSpaceDN w:val="0"/>
      <w:adjustRightInd w:val="0"/>
      <w:snapToGrid w:val="0"/>
      <w:outlineLvl w:val="5"/>
    </w:pPr>
    <w:rPr>
      <w:rFonts w:eastAsiaTheme="minorHAnsi"/>
      <w:lang w:val="fr-CH"/>
    </w:rPr>
  </w:style>
  <w:style w:type="paragraph" w:styleId="Ttulo7">
    <w:name w:val="heading 7"/>
    <w:basedOn w:val="Normal"/>
    <w:next w:val="Normal"/>
    <w:link w:val="Ttulo7Car"/>
    <w:semiHidden/>
    <w:qFormat/>
    <w:rsid w:val="00CF1577"/>
    <w:pPr>
      <w:kinsoku w:val="0"/>
      <w:overflowPunct w:val="0"/>
      <w:autoSpaceDE w:val="0"/>
      <w:autoSpaceDN w:val="0"/>
      <w:adjustRightInd w:val="0"/>
      <w:snapToGrid w:val="0"/>
      <w:outlineLvl w:val="6"/>
    </w:pPr>
    <w:rPr>
      <w:rFonts w:eastAsiaTheme="minorHAnsi"/>
      <w:lang w:val="fr-CH"/>
    </w:rPr>
  </w:style>
  <w:style w:type="paragraph" w:styleId="Ttulo8">
    <w:name w:val="heading 8"/>
    <w:basedOn w:val="Normal"/>
    <w:next w:val="Normal"/>
    <w:link w:val="Ttulo8Car"/>
    <w:semiHidden/>
    <w:qFormat/>
    <w:rsid w:val="00CF1577"/>
    <w:pPr>
      <w:kinsoku w:val="0"/>
      <w:overflowPunct w:val="0"/>
      <w:autoSpaceDE w:val="0"/>
      <w:autoSpaceDN w:val="0"/>
      <w:adjustRightInd w:val="0"/>
      <w:snapToGrid w:val="0"/>
      <w:outlineLvl w:val="7"/>
    </w:pPr>
    <w:rPr>
      <w:rFonts w:eastAsiaTheme="minorHAnsi"/>
      <w:lang w:val="fr-CH"/>
    </w:rPr>
  </w:style>
  <w:style w:type="paragraph" w:styleId="Ttulo9">
    <w:name w:val="heading 9"/>
    <w:basedOn w:val="Normal"/>
    <w:next w:val="Normal"/>
    <w:link w:val="Ttulo9Car"/>
    <w:semiHidden/>
    <w:qFormat/>
    <w:rsid w:val="00CF1577"/>
    <w:pPr>
      <w:kinsoku w:val="0"/>
      <w:overflowPunct w:val="0"/>
      <w:autoSpaceDE w:val="0"/>
      <w:autoSpaceDN w:val="0"/>
      <w:adjustRightInd w:val="0"/>
      <w:snapToGrid w:val="0"/>
      <w:outlineLvl w:val="8"/>
    </w:pPr>
    <w:rPr>
      <w:rFonts w:eastAsiaTheme="minorHAnsi"/>
      <w:lang w:val="fr-CH"/>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able_G Car"/>
    <w:basedOn w:val="Fuentedeprrafopredeter"/>
    <w:link w:val="Ttulo1"/>
    <w:rsid w:val="00CF1577"/>
    <w:rPr>
      <w:rFonts w:ascii="Times New Roman" w:hAnsi="Times New Roman" w:cs="Times New Roman"/>
      <w:sz w:val="20"/>
      <w:szCs w:val="20"/>
    </w:rPr>
  </w:style>
  <w:style w:type="character" w:customStyle="1" w:styleId="Ttulo2Car">
    <w:name w:val="Título 2 Car"/>
    <w:basedOn w:val="Fuentedeprrafopredeter"/>
    <w:link w:val="Ttulo2"/>
    <w:semiHidden/>
    <w:rsid w:val="00CF1577"/>
    <w:rPr>
      <w:rFonts w:ascii="Times New Roman" w:hAnsi="Times New Roman" w:cs="Times New Roman"/>
      <w:sz w:val="20"/>
      <w:szCs w:val="20"/>
      <w:lang w:val="fr-CH"/>
    </w:rPr>
  </w:style>
  <w:style w:type="character" w:customStyle="1" w:styleId="Ttulo3Car">
    <w:name w:val="Título 3 Car"/>
    <w:basedOn w:val="Fuentedeprrafopredeter"/>
    <w:link w:val="Ttulo3"/>
    <w:semiHidden/>
    <w:rsid w:val="00CF1577"/>
    <w:rPr>
      <w:rFonts w:ascii="Times New Roman" w:hAnsi="Times New Roman" w:cs="Times New Roman"/>
      <w:sz w:val="20"/>
      <w:szCs w:val="20"/>
      <w:lang w:val="fr-CH"/>
    </w:rPr>
  </w:style>
  <w:style w:type="character" w:customStyle="1" w:styleId="Ttulo4Car">
    <w:name w:val="Título 4 Car"/>
    <w:basedOn w:val="Fuentedeprrafopredeter"/>
    <w:link w:val="Ttulo4"/>
    <w:semiHidden/>
    <w:rsid w:val="00CF1577"/>
    <w:rPr>
      <w:rFonts w:ascii="Times New Roman" w:hAnsi="Times New Roman" w:cs="Times New Roman"/>
      <w:sz w:val="20"/>
      <w:szCs w:val="20"/>
      <w:lang w:val="fr-CH"/>
    </w:rPr>
  </w:style>
  <w:style w:type="character" w:customStyle="1" w:styleId="Ttulo5Car">
    <w:name w:val="Título 5 Car"/>
    <w:basedOn w:val="Fuentedeprrafopredeter"/>
    <w:link w:val="Ttulo5"/>
    <w:semiHidden/>
    <w:rsid w:val="00CF1577"/>
    <w:rPr>
      <w:rFonts w:ascii="Times New Roman" w:hAnsi="Times New Roman" w:cs="Times New Roman"/>
      <w:sz w:val="20"/>
      <w:szCs w:val="20"/>
      <w:lang w:val="fr-CH"/>
    </w:rPr>
  </w:style>
  <w:style w:type="character" w:customStyle="1" w:styleId="Ttulo6Car">
    <w:name w:val="Título 6 Car"/>
    <w:basedOn w:val="Fuentedeprrafopredeter"/>
    <w:link w:val="Ttulo6"/>
    <w:semiHidden/>
    <w:rsid w:val="00CF1577"/>
    <w:rPr>
      <w:rFonts w:ascii="Times New Roman" w:hAnsi="Times New Roman" w:cs="Times New Roman"/>
      <w:sz w:val="20"/>
      <w:szCs w:val="20"/>
      <w:lang w:val="fr-CH"/>
    </w:rPr>
  </w:style>
  <w:style w:type="character" w:customStyle="1" w:styleId="Ttulo7Car">
    <w:name w:val="Título 7 Car"/>
    <w:basedOn w:val="Fuentedeprrafopredeter"/>
    <w:link w:val="Ttulo7"/>
    <w:semiHidden/>
    <w:rsid w:val="00CF1577"/>
    <w:rPr>
      <w:rFonts w:ascii="Times New Roman" w:hAnsi="Times New Roman" w:cs="Times New Roman"/>
      <w:sz w:val="20"/>
      <w:szCs w:val="20"/>
      <w:lang w:val="fr-CH"/>
    </w:rPr>
  </w:style>
  <w:style w:type="character" w:customStyle="1" w:styleId="Ttulo8Car">
    <w:name w:val="Título 8 Car"/>
    <w:basedOn w:val="Fuentedeprrafopredeter"/>
    <w:link w:val="Ttulo8"/>
    <w:semiHidden/>
    <w:rsid w:val="00CF1577"/>
    <w:rPr>
      <w:rFonts w:ascii="Times New Roman" w:hAnsi="Times New Roman" w:cs="Times New Roman"/>
      <w:sz w:val="20"/>
      <w:szCs w:val="20"/>
      <w:lang w:val="fr-CH"/>
    </w:rPr>
  </w:style>
  <w:style w:type="character" w:customStyle="1" w:styleId="Ttulo9Car">
    <w:name w:val="Título 9 Car"/>
    <w:basedOn w:val="Fuentedeprrafopredeter"/>
    <w:link w:val="Ttulo9"/>
    <w:semiHidden/>
    <w:rsid w:val="00CF1577"/>
    <w:rPr>
      <w:rFonts w:ascii="Times New Roman" w:hAnsi="Times New Roman" w:cs="Times New Roman"/>
      <w:sz w:val="20"/>
      <w:szCs w:val="20"/>
      <w:lang w:val="fr-CH"/>
    </w:rPr>
  </w:style>
  <w:style w:type="paragraph" w:styleId="Encabezado">
    <w:name w:val="header"/>
    <w:aliases w:val="6_G"/>
    <w:basedOn w:val="Normal"/>
    <w:link w:val="EncabezadoCar"/>
    <w:rsid w:val="00CF1577"/>
    <w:pPr>
      <w:pBdr>
        <w:bottom w:val="single" w:sz="4" w:space="4" w:color="auto"/>
      </w:pBdr>
      <w:suppressAutoHyphens w:val="0"/>
      <w:spacing w:line="240" w:lineRule="auto"/>
    </w:pPr>
    <w:rPr>
      <w:rFonts w:eastAsiaTheme="minorHAnsi"/>
      <w:b/>
      <w:sz w:val="18"/>
    </w:rPr>
  </w:style>
  <w:style w:type="character" w:customStyle="1" w:styleId="EncabezadoCar">
    <w:name w:val="Encabezado Car"/>
    <w:aliases w:val="6_G Car"/>
    <w:basedOn w:val="Fuentedeprrafopredeter"/>
    <w:link w:val="Encabezado"/>
    <w:rsid w:val="00CF1577"/>
    <w:rPr>
      <w:rFonts w:ascii="Times New Roman" w:hAnsi="Times New Roman" w:cs="Times New Roman"/>
      <w:b/>
      <w:sz w:val="18"/>
      <w:szCs w:val="20"/>
    </w:rPr>
  </w:style>
  <w:style w:type="paragraph" w:styleId="Piedepgina">
    <w:name w:val="footer"/>
    <w:aliases w:val="3_G"/>
    <w:basedOn w:val="Normal"/>
    <w:link w:val="PiedepginaCar"/>
    <w:rsid w:val="00CF1577"/>
    <w:pPr>
      <w:suppressAutoHyphens w:val="0"/>
      <w:spacing w:line="240" w:lineRule="auto"/>
    </w:pPr>
    <w:rPr>
      <w:rFonts w:eastAsiaTheme="minorHAnsi"/>
      <w:sz w:val="16"/>
    </w:rPr>
  </w:style>
  <w:style w:type="character" w:customStyle="1" w:styleId="PiedepginaCar">
    <w:name w:val="Pie de página Car"/>
    <w:aliases w:val="3_G Car"/>
    <w:basedOn w:val="Fuentedeprrafopredeter"/>
    <w:link w:val="Piedepgina"/>
    <w:rsid w:val="00CF1577"/>
    <w:rPr>
      <w:rFonts w:ascii="Times New Roman" w:hAnsi="Times New Roman" w:cs="Times New Roman"/>
      <w:sz w:val="16"/>
      <w:szCs w:val="20"/>
    </w:rPr>
  </w:style>
  <w:style w:type="paragraph" w:customStyle="1" w:styleId="HMG">
    <w:name w:val="_ H __M_G"/>
    <w:basedOn w:val="Normal"/>
    <w:next w:val="Normal"/>
    <w:qFormat/>
    <w:rsid w:val="00CF1577"/>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rsid w:val="00CF1577"/>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rsid w:val="00CF1577"/>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rsid w:val="00CF1577"/>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rsid w:val="00CF1577"/>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rsid w:val="00CF1577"/>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rsid w:val="00CF1577"/>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rsid w:val="00CF1577"/>
    <w:pPr>
      <w:keepNext/>
      <w:keepLines/>
      <w:spacing w:before="240" w:after="240" w:line="580" w:lineRule="exact"/>
      <w:ind w:left="1134" w:right="1134"/>
    </w:pPr>
    <w:rPr>
      <w:b/>
      <w:sz w:val="56"/>
    </w:rPr>
  </w:style>
  <w:style w:type="paragraph" w:customStyle="1" w:styleId="SMG">
    <w:name w:val="__S_M_G"/>
    <w:basedOn w:val="Normal"/>
    <w:next w:val="Normal"/>
    <w:rsid w:val="00CF1577"/>
    <w:pPr>
      <w:keepNext/>
      <w:keepLines/>
      <w:spacing w:before="240" w:after="240" w:line="420" w:lineRule="exact"/>
      <w:ind w:left="1134" w:right="1134"/>
    </w:pPr>
    <w:rPr>
      <w:b/>
      <w:sz w:val="40"/>
    </w:rPr>
  </w:style>
  <w:style w:type="paragraph" w:customStyle="1" w:styleId="SSG">
    <w:name w:val="__S_S_G"/>
    <w:basedOn w:val="Normal"/>
    <w:next w:val="Normal"/>
    <w:rsid w:val="00CF1577"/>
    <w:pPr>
      <w:keepNext/>
      <w:keepLines/>
      <w:spacing w:before="240" w:after="240" w:line="300" w:lineRule="exact"/>
      <w:ind w:left="1134" w:right="1134"/>
    </w:pPr>
    <w:rPr>
      <w:b/>
      <w:sz w:val="28"/>
    </w:rPr>
  </w:style>
  <w:style w:type="paragraph" w:customStyle="1" w:styleId="XLargeG">
    <w:name w:val="__XLarge_G"/>
    <w:basedOn w:val="Normal"/>
    <w:next w:val="Normal"/>
    <w:rsid w:val="00CF1577"/>
    <w:pPr>
      <w:keepNext/>
      <w:keepLines/>
      <w:spacing w:before="240" w:after="240" w:line="420" w:lineRule="exact"/>
      <w:ind w:left="1134" w:right="1134"/>
    </w:pPr>
    <w:rPr>
      <w:b/>
      <w:sz w:val="40"/>
    </w:rPr>
  </w:style>
  <w:style w:type="paragraph" w:customStyle="1" w:styleId="Bullet1G">
    <w:name w:val="_Bullet 1_G"/>
    <w:basedOn w:val="Normal"/>
    <w:qFormat/>
    <w:rsid w:val="00CF1577"/>
    <w:pPr>
      <w:numPr>
        <w:numId w:val="1"/>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rsid w:val="00CF1577"/>
    <w:pPr>
      <w:numPr>
        <w:numId w:val="2"/>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rsid w:val="00CF1577"/>
    <w:pPr>
      <w:numPr>
        <w:numId w:val="3"/>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Refdenotaalpie">
    <w:name w:val="footnote reference"/>
    <w:aliases w:val="4_G"/>
    <w:basedOn w:val="Fuentedeprrafopredeter"/>
    <w:qFormat/>
    <w:rsid w:val="00CF1577"/>
    <w:rPr>
      <w:rFonts w:ascii="Times New Roman" w:hAnsi="Times New Roman"/>
      <w:sz w:val="18"/>
      <w:vertAlign w:val="superscript"/>
      <w:lang w:val="en-GB"/>
    </w:rPr>
  </w:style>
  <w:style w:type="character" w:styleId="Refdenotaalfinal">
    <w:name w:val="endnote reference"/>
    <w:aliases w:val="1_G"/>
    <w:basedOn w:val="Refdenotaalpie"/>
    <w:qFormat/>
    <w:rsid w:val="00CF1577"/>
    <w:rPr>
      <w:rFonts w:ascii="Times New Roman" w:hAnsi="Times New Roman"/>
      <w:sz w:val="18"/>
      <w:vertAlign w:val="superscript"/>
      <w:lang w:val="en-GB"/>
    </w:rPr>
  </w:style>
  <w:style w:type="table" w:styleId="Tablaconcuadrcula">
    <w:name w:val="Table Grid"/>
    <w:basedOn w:val="Tablanormal"/>
    <w:rsid w:val="00CF1577"/>
    <w:pPr>
      <w:suppressAutoHyphens/>
      <w:spacing w:after="0" w:line="240" w:lineRule="atLeast"/>
    </w:pPr>
    <w:rPr>
      <w:rFonts w:ascii="Times New Roman"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ipervnculo">
    <w:name w:val="Hyperlink"/>
    <w:basedOn w:val="Fuentedeprrafopredeter"/>
    <w:semiHidden/>
    <w:rsid w:val="00CF1577"/>
    <w:rPr>
      <w:color w:val="0000FF"/>
      <w:u w:val="none"/>
    </w:rPr>
  </w:style>
  <w:style w:type="character" w:styleId="Hipervnculovisitado">
    <w:name w:val="FollowedHyperlink"/>
    <w:basedOn w:val="Fuentedeprrafopredeter"/>
    <w:semiHidden/>
    <w:rsid w:val="00CF1577"/>
    <w:rPr>
      <w:color w:val="0000FF"/>
      <w:u w:val="none"/>
    </w:rPr>
  </w:style>
  <w:style w:type="paragraph" w:styleId="Textonotapie">
    <w:name w:val="footnote text"/>
    <w:aliases w:val="5_G"/>
    <w:basedOn w:val="Normal"/>
    <w:link w:val="TextonotapieCar"/>
    <w:qFormat/>
    <w:rsid w:val="00CF1577"/>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TextonotapieCar">
    <w:name w:val="Texto nota pie Car"/>
    <w:aliases w:val="5_G Car"/>
    <w:basedOn w:val="Fuentedeprrafopredeter"/>
    <w:link w:val="Textonotapie"/>
    <w:rsid w:val="00CF1577"/>
    <w:rPr>
      <w:rFonts w:ascii="Times New Roman" w:hAnsi="Times New Roman" w:cs="Times New Roman"/>
      <w:sz w:val="18"/>
      <w:szCs w:val="20"/>
    </w:rPr>
  </w:style>
  <w:style w:type="paragraph" w:styleId="Textonotaalfinal">
    <w:name w:val="endnote text"/>
    <w:aliases w:val="2_G"/>
    <w:basedOn w:val="Textonotapie"/>
    <w:link w:val="TextonotaalfinalCar"/>
    <w:qFormat/>
    <w:rsid w:val="00CF1577"/>
  </w:style>
  <w:style w:type="character" w:customStyle="1" w:styleId="TextonotaalfinalCar">
    <w:name w:val="Texto nota al final Car"/>
    <w:aliases w:val="2_G Car"/>
    <w:basedOn w:val="Fuentedeprrafopredeter"/>
    <w:link w:val="Textonotaalfinal"/>
    <w:rsid w:val="00CF1577"/>
    <w:rPr>
      <w:rFonts w:ascii="Times New Roman" w:hAnsi="Times New Roman" w:cs="Times New Roman"/>
      <w:sz w:val="18"/>
      <w:szCs w:val="20"/>
    </w:rPr>
  </w:style>
  <w:style w:type="character" w:styleId="Nmerodepgina">
    <w:name w:val="page number"/>
    <w:aliases w:val="7_G"/>
    <w:basedOn w:val="Fuentedeprrafopredeter"/>
    <w:qFormat/>
    <w:rsid w:val="00CF1577"/>
    <w:rPr>
      <w:rFonts w:ascii="Times New Roman" w:hAnsi="Times New Roman"/>
      <w:b/>
      <w:sz w:val="18"/>
      <w:lang w:val="en-GB"/>
    </w:rPr>
  </w:style>
  <w:style w:type="paragraph" w:styleId="Textodeglobo">
    <w:name w:val="Balloon Text"/>
    <w:basedOn w:val="Normal"/>
    <w:link w:val="TextodegloboCar"/>
    <w:uiPriority w:val="99"/>
    <w:semiHidden/>
    <w:unhideWhenUsed/>
    <w:rsid w:val="00CF157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1577"/>
    <w:rPr>
      <w:rFonts w:ascii="Tahoma" w:eastAsia="Times New Roman" w:hAnsi="Tahoma" w:cs="Tahoma"/>
      <w:sz w:val="16"/>
      <w:szCs w:val="16"/>
    </w:rPr>
  </w:style>
  <w:style w:type="character" w:customStyle="1" w:styleId="SingleTxtGChar">
    <w:name w:val="_ Single Txt_G Char"/>
    <w:link w:val="SingleTxtG"/>
    <w:locked/>
    <w:rsid w:val="00CF1577"/>
    <w:rPr>
      <w:rFonts w:ascii="Times New Roman" w:hAnsi="Times New Roman" w:cs="Times New Roman"/>
      <w:sz w:val="20"/>
      <w:szCs w:val="20"/>
    </w:rPr>
  </w:style>
  <w:style w:type="numbering" w:styleId="111111">
    <w:name w:val="Outline List 2"/>
    <w:basedOn w:val="Sinlista"/>
    <w:semiHidden/>
    <w:rsid w:val="00CF1577"/>
    <w:pPr>
      <w:numPr>
        <w:numId w:val="15"/>
      </w:numPr>
    </w:pPr>
  </w:style>
  <w:style w:type="numbering" w:styleId="1ai">
    <w:name w:val="Outline List 1"/>
    <w:basedOn w:val="Sinlista"/>
    <w:semiHidden/>
    <w:rsid w:val="00CF1577"/>
    <w:pPr>
      <w:numPr>
        <w:numId w:val="17"/>
      </w:numPr>
    </w:pPr>
  </w:style>
  <w:style w:type="table" w:customStyle="1" w:styleId="TableGrid1">
    <w:name w:val="Table Grid1"/>
    <w:basedOn w:val="Tablanormal"/>
    <w:rsid w:val="00CF1577"/>
    <w:pPr>
      <w:suppressAutoHyphens/>
      <w:spacing w:after="0" w:line="240" w:lineRule="atLeast"/>
    </w:pPr>
    <w:rPr>
      <w:rFonts w:ascii="Times New Roman" w:hAnsi="Times New Roman" w:cs="Times New Roman"/>
      <w:sz w:val="20"/>
      <w:szCs w:val="20"/>
      <w:lang w:val="fr-CH"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
    <w:name w:val="Default"/>
    <w:rsid w:val="00CF15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erged-reco">
    <w:name w:val="merged-reco"/>
    <w:basedOn w:val="Normal"/>
    <w:rsid w:val="00CF1577"/>
    <w:pPr>
      <w:suppressAutoHyphens w:val="0"/>
      <w:spacing w:before="100" w:beforeAutospacing="1" w:after="100" w:afterAutospacing="1" w:line="240" w:lineRule="auto"/>
    </w:pPr>
    <w:rPr>
      <w:sz w:val="24"/>
      <w:szCs w:val="24"/>
      <w:lang w:eastAsia="en-GB"/>
    </w:rPr>
  </w:style>
  <w:style w:type="paragraph" w:styleId="Prrafodelista">
    <w:name w:val="List Paragraph"/>
    <w:basedOn w:val="Normal"/>
    <w:uiPriority w:val="34"/>
    <w:qFormat/>
    <w:rsid w:val="00CF1577"/>
    <w:pPr>
      <w:ind w:left="720"/>
      <w:contextualSpacing/>
    </w:pPr>
  </w:style>
  <w:style w:type="paragraph" w:styleId="Revisin">
    <w:name w:val="Revision"/>
    <w:hidden/>
    <w:uiPriority w:val="99"/>
    <w:semiHidden/>
    <w:rsid w:val="00CF1577"/>
    <w:pPr>
      <w:spacing w:after="0" w:line="240" w:lineRule="auto"/>
    </w:pPr>
    <w:rPr>
      <w:rFonts w:ascii="Times New Roman" w:eastAsia="Times New Roman" w:hAnsi="Times New Roman" w:cs="Times New Roman"/>
      <w:sz w:val="20"/>
      <w:szCs w:val="20"/>
    </w:rPr>
  </w:style>
  <w:style w:type="character" w:styleId="Refdecomentario">
    <w:name w:val="annotation reference"/>
    <w:basedOn w:val="Fuentedeprrafopredeter"/>
    <w:uiPriority w:val="99"/>
    <w:semiHidden/>
    <w:unhideWhenUsed/>
    <w:rsid w:val="00CF1577"/>
    <w:rPr>
      <w:sz w:val="16"/>
      <w:szCs w:val="16"/>
    </w:rPr>
  </w:style>
  <w:style w:type="paragraph" w:styleId="Textocomentario">
    <w:name w:val="annotation text"/>
    <w:basedOn w:val="Normal"/>
    <w:link w:val="TextocomentarioCar"/>
    <w:uiPriority w:val="99"/>
    <w:unhideWhenUsed/>
    <w:rsid w:val="00CF1577"/>
    <w:pPr>
      <w:spacing w:line="240" w:lineRule="auto"/>
    </w:pPr>
  </w:style>
  <w:style w:type="character" w:customStyle="1" w:styleId="TextocomentarioCar">
    <w:name w:val="Texto comentario Car"/>
    <w:basedOn w:val="Fuentedeprrafopredeter"/>
    <w:link w:val="Textocomentario"/>
    <w:uiPriority w:val="99"/>
    <w:rsid w:val="00CF1577"/>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F1577"/>
    <w:rPr>
      <w:b/>
      <w:bCs/>
    </w:rPr>
  </w:style>
  <w:style w:type="character" w:customStyle="1" w:styleId="AsuntodelcomentarioCar">
    <w:name w:val="Asunto del comentario Car"/>
    <w:basedOn w:val="TextocomentarioCar"/>
    <w:link w:val="Asuntodelcomentario"/>
    <w:uiPriority w:val="99"/>
    <w:semiHidden/>
    <w:rsid w:val="00CF1577"/>
    <w:rPr>
      <w:rFonts w:ascii="Times New Roman" w:eastAsia="Times New Roman" w:hAnsi="Times New Roman" w:cs="Times New Roman"/>
      <w:b/>
      <w:bCs/>
      <w:sz w:val="20"/>
      <w:szCs w:val="20"/>
    </w:rPr>
  </w:style>
  <w:style w:type="paragraph" w:customStyle="1" w:styleId="h23g0">
    <w:name w:val="h23g"/>
    <w:basedOn w:val="Normal"/>
    <w:rsid w:val="0048493B"/>
    <w:pPr>
      <w:suppressAutoHyphens w:val="0"/>
      <w:spacing w:before="100" w:beforeAutospacing="1" w:after="100" w:afterAutospacing="1" w:line="240" w:lineRule="auto"/>
    </w:pPr>
    <w:rPr>
      <w:rFonts w:ascii="Calibri" w:eastAsiaTheme="minorHAnsi" w:hAnsi="Calibri" w:cs="Calibri"/>
      <w:sz w:val="22"/>
      <w:szCs w:val="22"/>
      <w:lang w:eastAsia="en-GB"/>
    </w:rPr>
  </w:style>
  <w:style w:type="paragraph" w:customStyle="1" w:styleId="singletxtg0">
    <w:name w:val="singletxtg"/>
    <w:basedOn w:val="Normal"/>
    <w:rsid w:val="0048493B"/>
    <w:pPr>
      <w:suppressAutoHyphens w:val="0"/>
      <w:spacing w:before="100" w:beforeAutospacing="1" w:after="100" w:afterAutospacing="1" w:line="240" w:lineRule="auto"/>
    </w:pPr>
    <w:rPr>
      <w:rFonts w:ascii="Calibri" w:eastAsiaTheme="minorHAnsi" w:hAnsi="Calibri" w:cs="Calibri"/>
      <w:sz w:val="22"/>
      <w:szCs w:val="22"/>
      <w:lang w:eastAsia="en-GB"/>
    </w:rPr>
  </w:style>
  <w:style w:type="paragraph" w:customStyle="1" w:styleId="xxmsonormal">
    <w:name w:val="x_x_msonormal"/>
    <w:basedOn w:val="Normal"/>
    <w:rsid w:val="00EE1BC2"/>
    <w:pPr>
      <w:suppressAutoHyphens w:val="0"/>
      <w:spacing w:line="240" w:lineRule="auto"/>
    </w:pPr>
    <w:rPr>
      <w:rFonts w:ascii="Calibri" w:eastAsiaTheme="minorHAnsi" w:hAnsi="Calibri" w:cs="Calibri"/>
      <w:sz w:val="22"/>
      <w:szCs w:val="22"/>
      <w:lang w:eastAsia="en-GB"/>
    </w:rPr>
  </w:style>
  <w:style w:type="character" w:customStyle="1" w:styleId="xxcontentpasted0">
    <w:name w:val="x_x_contentpasted0"/>
    <w:basedOn w:val="Fuentedeprrafopredeter"/>
    <w:rsid w:val="00EE1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8635">
      <w:bodyDiv w:val="1"/>
      <w:marLeft w:val="0"/>
      <w:marRight w:val="0"/>
      <w:marTop w:val="0"/>
      <w:marBottom w:val="0"/>
      <w:divBdr>
        <w:top w:val="none" w:sz="0" w:space="0" w:color="auto"/>
        <w:left w:val="none" w:sz="0" w:space="0" w:color="auto"/>
        <w:bottom w:val="none" w:sz="0" w:space="0" w:color="auto"/>
        <w:right w:val="none" w:sz="0" w:space="0" w:color="auto"/>
      </w:divBdr>
    </w:div>
    <w:div w:id="266156763">
      <w:bodyDiv w:val="1"/>
      <w:marLeft w:val="0"/>
      <w:marRight w:val="0"/>
      <w:marTop w:val="0"/>
      <w:marBottom w:val="0"/>
      <w:divBdr>
        <w:top w:val="none" w:sz="0" w:space="0" w:color="auto"/>
        <w:left w:val="none" w:sz="0" w:space="0" w:color="auto"/>
        <w:bottom w:val="none" w:sz="0" w:space="0" w:color="auto"/>
        <w:right w:val="none" w:sz="0" w:space="0" w:color="auto"/>
      </w:divBdr>
    </w:div>
    <w:div w:id="366612157">
      <w:bodyDiv w:val="1"/>
      <w:marLeft w:val="0"/>
      <w:marRight w:val="0"/>
      <w:marTop w:val="0"/>
      <w:marBottom w:val="0"/>
      <w:divBdr>
        <w:top w:val="none" w:sz="0" w:space="0" w:color="auto"/>
        <w:left w:val="none" w:sz="0" w:space="0" w:color="auto"/>
        <w:bottom w:val="none" w:sz="0" w:space="0" w:color="auto"/>
        <w:right w:val="none" w:sz="0" w:space="0" w:color="auto"/>
      </w:divBdr>
    </w:div>
    <w:div w:id="466900545">
      <w:bodyDiv w:val="1"/>
      <w:marLeft w:val="0"/>
      <w:marRight w:val="0"/>
      <w:marTop w:val="0"/>
      <w:marBottom w:val="0"/>
      <w:divBdr>
        <w:top w:val="none" w:sz="0" w:space="0" w:color="auto"/>
        <w:left w:val="none" w:sz="0" w:space="0" w:color="auto"/>
        <w:bottom w:val="none" w:sz="0" w:space="0" w:color="auto"/>
        <w:right w:val="none" w:sz="0" w:space="0" w:color="auto"/>
      </w:divBdr>
    </w:div>
    <w:div w:id="737437424">
      <w:bodyDiv w:val="1"/>
      <w:marLeft w:val="0"/>
      <w:marRight w:val="0"/>
      <w:marTop w:val="0"/>
      <w:marBottom w:val="0"/>
      <w:divBdr>
        <w:top w:val="none" w:sz="0" w:space="0" w:color="auto"/>
        <w:left w:val="none" w:sz="0" w:space="0" w:color="auto"/>
        <w:bottom w:val="none" w:sz="0" w:space="0" w:color="auto"/>
        <w:right w:val="none" w:sz="0" w:space="0" w:color="auto"/>
      </w:divBdr>
    </w:div>
    <w:div w:id="1110855736">
      <w:bodyDiv w:val="1"/>
      <w:marLeft w:val="0"/>
      <w:marRight w:val="0"/>
      <w:marTop w:val="0"/>
      <w:marBottom w:val="0"/>
      <w:divBdr>
        <w:top w:val="none" w:sz="0" w:space="0" w:color="auto"/>
        <w:left w:val="none" w:sz="0" w:space="0" w:color="auto"/>
        <w:bottom w:val="none" w:sz="0" w:space="0" w:color="auto"/>
        <w:right w:val="none" w:sz="0" w:space="0" w:color="auto"/>
      </w:divBdr>
    </w:div>
    <w:div w:id="1302074987">
      <w:bodyDiv w:val="1"/>
      <w:marLeft w:val="0"/>
      <w:marRight w:val="0"/>
      <w:marTop w:val="0"/>
      <w:marBottom w:val="0"/>
      <w:divBdr>
        <w:top w:val="none" w:sz="0" w:space="0" w:color="auto"/>
        <w:left w:val="none" w:sz="0" w:space="0" w:color="auto"/>
        <w:bottom w:val="none" w:sz="0" w:space="0" w:color="auto"/>
        <w:right w:val="none" w:sz="0" w:space="0" w:color="auto"/>
      </w:divBdr>
    </w:div>
    <w:div w:id="1617062660">
      <w:bodyDiv w:val="1"/>
      <w:marLeft w:val="0"/>
      <w:marRight w:val="0"/>
      <w:marTop w:val="0"/>
      <w:marBottom w:val="0"/>
      <w:divBdr>
        <w:top w:val="none" w:sz="0" w:space="0" w:color="auto"/>
        <w:left w:val="none" w:sz="0" w:space="0" w:color="auto"/>
        <w:bottom w:val="none" w:sz="0" w:space="0" w:color="auto"/>
        <w:right w:val="none" w:sz="0" w:space="0" w:color="auto"/>
      </w:divBdr>
    </w:div>
    <w:div w:id="1706632949">
      <w:bodyDiv w:val="1"/>
      <w:marLeft w:val="0"/>
      <w:marRight w:val="0"/>
      <w:marTop w:val="0"/>
      <w:marBottom w:val="0"/>
      <w:divBdr>
        <w:top w:val="none" w:sz="0" w:space="0" w:color="auto"/>
        <w:left w:val="none" w:sz="0" w:space="0" w:color="auto"/>
        <w:bottom w:val="none" w:sz="0" w:space="0" w:color="auto"/>
        <w:right w:val="none" w:sz="0" w:space="0" w:color="auto"/>
      </w:divBdr>
    </w:div>
    <w:div w:id="173665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en/A/65/3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docs.org/en/HRI/GEN/2/Rev.6"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B5F36-2713-43FC-844E-3A223458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7295</Words>
  <Characters>40123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Laia Evia Alsina</dc:creator>
  <cp:keywords/>
  <dc:description/>
  <cp:lastModifiedBy>María Cecilia Ibañez</cp:lastModifiedBy>
  <cp:revision>2</cp:revision>
  <dcterms:created xsi:type="dcterms:W3CDTF">2023-05-30T13:28:00Z</dcterms:created>
  <dcterms:modified xsi:type="dcterms:W3CDTF">2023-05-30T13:28:00Z</dcterms:modified>
</cp:coreProperties>
</file>