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014" w:rsidRDefault="006D73F9" w:rsidP="00B25FAF">
      <w:pPr>
        <w:jc w:val="center"/>
        <w:rPr>
          <w:rFonts w:ascii="Century Gothic" w:hAnsi="Century Gothic" w:cs="Arial"/>
          <w:b/>
          <w:sz w:val="32"/>
          <w:szCs w:val="32"/>
        </w:rPr>
      </w:pPr>
      <w:r>
        <w:rPr>
          <w:rFonts w:ascii="Century Gothic" w:hAnsi="Century Gothic" w:cs="Arial"/>
          <w:b/>
          <w:sz w:val="32"/>
          <w:szCs w:val="32"/>
        </w:rPr>
        <w:t>El Derecho a la Ciudad</w:t>
      </w:r>
      <w:r w:rsidR="00817648">
        <w:rPr>
          <w:rFonts w:ascii="Century Gothic" w:hAnsi="Century Gothic" w:cs="Arial"/>
          <w:b/>
          <w:sz w:val="32"/>
          <w:szCs w:val="32"/>
        </w:rPr>
        <w:t xml:space="preserve"> como</w:t>
      </w:r>
      <w:r w:rsidR="00F84714">
        <w:rPr>
          <w:rFonts w:ascii="Century Gothic" w:hAnsi="Century Gothic" w:cs="Arial"/>
          <w:b/>
          <w:sz w:val="32"/>
          <w:szCs w:val="32"/>
        </w:rPr>
        <w:t xml:space="preserve"> un</w:t>
      </w:r>
      <w:r w:rsidR="00817648">
        <w:rPr>
          <w:rFonts w:ascii="Century Gothic" w:hAnsi="Century Gothic" w:cs="Arial"/>
          <w:b/>
          <w:sz w:val="32"/>
          <w:szCs w:val="32"/>
        </w:rPr>
        <w:t xml:space="preserve"> derecho humano </w:t>
      </w:r>
      <w:r w:rsidR="00D60666">
        <w:rPr>
          <w:rFonts w:ascii="Century Gothic" w:hAnsi="Century Gothic" w:cs="Arial"/>
          <w:b/>
          <w:sz w:val="32"/>
          <w:szCs w:val="32"/>
        </w:rPr>
        <w:t>emergente</w:t>
      </w:r>
    </w:p>
    <w:p w:rsidR="009B5916" w:rsidRPr="009B5916" w:rsidRDefault="009B5916" w:rsidP="009B5916">
      <w:pPr>
        <w:jc w:val="right"/>
        <w:rPr>
          <w:rFonts w:ascii="Century Gothic" w:hAnsi="Century Gothic" w:cs="Arial"/>
          <w:i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Br. </w:t>
      </w:r>
      <w:r w:rsidR="00B8799E">
        <w:rPr>
          <w:rFonts w:ascii="Century Gothic" w:hAnsi="Century Gothic" w:cs="Arial"/>
          <w:sz w:val="24"/>
          <w:szCs w:val="24"/>
        </w:rPr>
        <w:t>Tamayo Mora Enmanuel</w:t>
      </w:r>
      <w:r>
        <w:rPr>
          <w:rFonts w:ascii="Century Gothic" w:hAnsi="Century Gothic" w:cs="Arial"/>
          <w:sz w:val="24"/>
          <w:szCs w:val="24"/>
        </w:rPr>
        <w:br/>
      </w:r>
      <w:r>
        <w:rPr>
          <w:rFonts w:ascii="Century Gothic" w:hAnsi="Century Gothic" w:cs="Arial"/>
          <w:i/>
          <w:sz w:val="24"/>
          <w:szCs w:val="24"/>
        </w:rPr>
        <w:t>teymora@gmail.com</w:t>
      </w:r>
    </w:p>
    <w:p w:rsidR="00CB763E" w:rsidRDefault="0094625D" w:rsidP="00B25FAF">
      <w:pPr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ab/>
      </w:r>
      <w:r w:rsidR="00CB763E">
        <w:rPr>
          <w:rFonts w:ascii="Century Gothic" w:hAnsi="Century Gothic" w:cs="Arial"/>
          <w:sz w:val="24"/>
          <w:szCs w:val="24"/>
        </w:rPr>
        <w:t>Para entender las líneas que se presentan a continuación, es necesario entender dos definiciones primordiales, las cuales serán el eje fundamental de este texto, dicho esto, nos encontramos con:</w:t>
      </w:r>
    </w:p>
    <w:p w:rsidR="00CB763E" w:rsidRDefault="00CB763E" w:rsidP="00B25FAF">
      <w:pPr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 xml:space="preserve">Desarrollo Sostenible: </w:t>
      </w:r>
      <w:r w:rsidRPr="00CB763E">
        <w:rPr>
          <w:rFonts w:ascii="Century Gothic" w:hAnsi="Century Gothic" w:cs="Arial"/>
          <w:sz w:val="24"/>
          <w:szCs w:val="24"/>
        </w:rPr>
        <w:t>el desarrollo que satisface las necesidades de la generación presente sin comprometer la capacidad de las generaciones futuras para satisfacer sus propias necesidades</w:t>
      </w:r>
      <w:r>
        <w:rPr>
          <w:rFonts w:ascii="Century Gothic" w:hAnsi="Century Gothic" w:cs="Arial"/>
          <w:sz w:val="24"/>
          <w:szCs w:val="24"/>
        </w:rPr>
        <w:t>.</w:t>
      </w:r>
      <w:r>
        <w:rPr>
          <w:rStyle w:val="Refdenotaalpie"/>
          <w:rFonts w:ascii="Century Gothic" w:hAnsi="Century Gothic" w:cs="Arial"/>
          <w:sz w:val="24"/>
          <w:szCs w:val="24"/>
        </w:rPr>
        <w:footnoteReference w:id="1"/>
      </w:r>
    </w:p>
    <w:p w:rsidR="000E6833" w:rsidRDefault="009A1A63" w:rsidP="000E6833">
      <w:pPr>
        <w:spacing w:line="240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 xml:space="preserve">Derecho a la Ciudad: </w:t>
      </w:r>
      <w:r w:rsidR="00CD1040">
        <w:rPr>
          <w:rFonts w:ascii="Century Gothic" w:hAnsi="Century Gothic" w:cs="Arial"/>
          <w:sz w:val="24"/>
          <w:szCs w:val="24"/>
        </w:rPr>
        <w:t>Según la Carta Mundial sobre el Derecho a la Ciudad</w:t>
      </w:r>
      <w:r w:rsidR="00F203A8">
        <w:rPr>
          <w:rStyle w:val="Refdenotaalpie"/>
          <w:rFonts w:ascii="Century Gothic" w:hAnsi="Century Gothic" w:cs="Arial"/>
          <w:sz w:val="24"/>
          <w:szCs w:val="24"/>
        </w:rPr>
        <w:footnoteReference w:id="2"/>
      </w:r>
      <w:r w:rsidR="00CD1040">
        <w:rPr>
          <w:rFonts w:ascii="Century Gothic" w:hAnsi="Century Gothic" w:cs="Arial"/>
          <w:sz w:val="24"/>
          <w:szCs w:val="24"/>
        </w:rPr>
        <w:t xml:space="preserve"> </w:t>
      </w:r>
      <w:r w:rsidR="000E6833">
        <w:rPr>
          <w:rFonts w:ascii="Century Gothic" w:hAnsi="Century Gothic" w:cs="Arial"/>
          <w:sz w:val="24"/>
          <w:szCs w:val="24"/>
        </w:rPr>
        <w:t>se define como:</w:t>
      </w:r>
    </w:p>
    <w:p w:rsidR="009A1A63" w:rsidRDefault="000E6833" w:rsidP="000E6833">
      <w:pPr>
        <w:spacing w:line="240" w:lineRule="auto"/>
        <w:ind w:left="1418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</w:t>
      </w:r>
      <w:r w:rsidRPr="000E6833">
        <w:rPr>
          <w:rFonts w:ascii="Century Gothic" w:hAnsi="Century Gothic"/>
          <w:sz w:val="24"/>
          <w:szCs w:val="24"/>
        </w:rPr>
        <w:t>l usufructo equitativo de las ciudades dentro de los principios de sustentabilidad, democracia y justicia social; es un derecho colectivo de los habitantes de las ciudades, en especial de los grupos vulnerables y desfavorecidos, que les confiere legitimidad de acción y de organización, basado en sus usos y costumbres, con el objetivo de alcanzar el pleno ejercicio del derecho a un patrón de vida adecuado</w:t>
      </w:r>
      <w:r>
        <w:rPr>
          <w:rFonts w:ascii="Century Gothic" w:hAnsi="Century Gothic"/>
          <w:sz w:val="24"/>
          <w:szCs w:val="24"/>
        </w:rPr>
        <w:t xml:space="preserve">. </w:t>
      </w:r>
    </w:p>
    <w:p w:rsidR="00F413A1" w:rsidRPr="00CD1040" w:rsidRDefault="00F413A1" w:rsidP="00F413A1">
      <w:pPr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>De esta definición</w:t>
      </w:r>
      <w:r w:rsidR="00313AD1">
        <w:rPr>
          <w:rFonts w:ascii="Century Gothic" w:hAnsi="Century Gothic"/>
          <w:sz w:val="24"/>
          <w:szCs w:val="24"/>
        </w:rPr>
        <w:t xml:space="preserve"> se colige </w:t>
      </w:r>
      <w:r w:rsidR="00DE4C48">
        <w:rPr>
          <w:rFonts w:ascii="Century Gothic" w:hAnsi="Century Gothic"/>
          <w:sz w:val="24"/>
          <w:szCs w:val="24"/>
        </w:rPr>
        <w:t>que, el Derecho a la Ciudad es un derecho</w:t>
      </w:r>
      <w:r w:rsidR="00313AD1">
        <w:rPr>
          <w:rFonts w:ascii="Century Gothic" w:hAnsi="Century Gothic"/>
          <w:sz w:val="24"/>
          <w:szCs w:val="24"/>
        </w:rPr>
        <w:t xml:space="preserve"> que gozan y disfrutan los habitantes de las ciudades del mundo independientemente de su raza, sexo, color de piel, clase social u oportunidades económicas que posea; el derecho a la ciudad no favorece intereses particulares</w:t>
      </w:r>
      <w:r w:rsidR="00C7331B">
        <w:rPr>
          <w:rFonts w:ascii="Century Gothic" w:hAnsi="Century Gothic"/>
          <w:sz w:val="24"/>
          <w:szCs w:val="24"/>
        </w:rPr>
        <w:t>,</w:t>
      </w:r>
      <w:r w:rsidR="00313AD1">
        <w:rPr>
          <w:rFonts w:ascii="Century Gothic" w:hAnsi="Century Gothic"/>
          <w:sz w:val="24"/>
          <w:szCs w:val="24"/>
        </w:rPr>
        <w:t xml:space="preserve"> de un</w:t>
      </w:r>
      <w:r w:rsidR="00C7331B">
        <w:rPr>
          <w:rFonts w:ascii="Century Gothic" w:hAnsi="Century Gothic"/>
          <w:sz w:val="24"/>
          <w:szCs w:val="24"/>
        </w:rPr>
        <w:t>a sola persona, claro está, pues el mismo</w:t>
      </w:r>
      <w:r w:rsidR="00313AD1">
        <w:rPr>
          <w:rFonts w:ascii="Century Gothic" w:hAnsi="Century Gothic"/>
          <w:sz w:val="24"/>
          <w:szCs w:val="24"/>
        </w:rPr>
        <w:t xml:space="preserve"> busca favorece</w:t>
      </w:r>
      <w:r w:rsidR="00C7331B">
        <w:rPr>
          <w:rFonts w:ascii="Century Gothic" w:hAnsi="Century Gothic"/>
          <w:sz w:val="24"/>
          <w:szCs w:val="24"/>
        </w:rPr>
        <w:t>r a la</w:t>
      </w:r>
      <w:r w:rsidR="00313AD1">
        <w:rPr>
          <w:rFonts w:ascii="Century Gothic" w:hAnsi="Century Gothic"/>
          <w:sz w:val="24"/>
          <w:szCs w:val="24"/>
        </w:rPr>
        <w:t xml:space="preserve"> colectividad en general, </w:t>
      </w:r>
      <w:r w:rsidR="00C7331B">
        <w:rPr>
          <w:rFonts w:ascii="Century Gothic" w:hAnsi="Century Gothic"/>
          <w:sz w:val="24"/>
          <w:szCs w:val="24"/>
        </w:rPr>
        <w:t xml:space="preserve">haciendo ahínco en las clases más desfavorecidas que no pueden acceder a todos los bienes y servicios que la ciudad tiene para ellos, </w:t>
      </w:r>
      <w:r w:rsidR="00DE4C48">
        <w:rPr>
          <w:rFonts w:ascii="Century Gothic" w:hAnsi="Century Gothic"/>
          <w:sz w:val="24"/>
          <w:szCs w:val="24"/>
        </w:rPr>
        <w:t>a su vez, el derecho que tienen los habitantes citadinos a vivir en un asentamiento digno, les asigna</w:t>
      </w:r>
      <w:r w:rsidR="00C7331B">
        <w:rPr>
          <w:rFonts w:ascii="Century Gothic" w:hAnsi="Century Gothic"/>
          <w:sz w:val="24"/>
          <w:szCs w:val="24"/>
        </w:rPr>
        <w:t xml:space="preserve"> también </w:t>
      </w:r>
      <w:r w:rsidR="00012E08">
        <w:rPr>
          <w:rFonts w:ascii="Century Gothic" w:hAnsi="Century Gothic"/>
          <w:sz w:val="24"/>
          <w:szCs w:val="24"/>
        </w:rPr>
        <w:t xml:space="preserve">el derecho a reclamar y </w:t>
      </w:r>
      <w:r w:rsidR="00DE4C48">
        <w:rPr>
          <w:rFonts w:ascii="Century Gothic" w:hAnsi="Century Gothic"/>
          <w:sz w:val="24"/>
          <w:szCs w:val="24"/>
        </w:rPr>
        <w:t xml:space="preserve">a </w:t>
      </w:r>
      <w:r w:rsidR="00012E08">
        <w:rPr>
          <w:rFonts w:ascii="Century Gothic" w:hAnsi="Century Gothic"/>
          <w:sz w:val="24"/>
          <w:szCs w:val="24"/>
        </w:rPr>
        <w:t>exigir al estado</w:t>
      </w:r>
      <w:r w:rsidR="00DE4C48">
        <w:rPr>
          <w:rFonts w:ascii="Century Gothic" w:hAnsi="Century Gothic"/>
          <w:sz w:val="24"/>
          <w:szCs w:val="24"/>
        </w:rPr>
        <w:t xml:space="preserve"> un asentamiento</w:t>
      </w:r>
      <w:r w:rsidR="00012E08">
        <w:rPr>
          <w:rFonts w:ascii="Century Gothic" w:hAnsi="Century Gothic"/>
          <w:sz w:val="24"/>
          <w:szCs w:val="24"/>
        </w:rPr>
        <w:t xml:space="preserve"> que les ofrezca bienes y servicios que se adecúen </w:t>
      </w:r>
      <w:r w:rsidR="00DE4C48">
        <w:rPr>
          <w:rFonts w:ascii="Century Gothic" w:hAnsi="Century Gothic"/>
          <w:sz w:val="24"/>
          <w:szCs w:val="24"/>
        </w:rPr>
        <w:t xml:space="preserve">a una excelente calidad de vida para estos. </w:t>
      </w:r>
    </w:p>
    <w:p w:rsidR="009A461A" w:rsidRPr="009A461A" w:rsidRDefault="000E6833" w:rsidP="00B25FAF">
      <w:pPr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ab/>
      </w:r>
      <w:r w:rsidR="005C752C">
        <w:rPr>
          <w:rFonts w:ascii="Century Gothic" w:hAnsi="Century Gothic" w:cs="Arial"/>
          <w:sz w:val="24"/>
          <w:szCs w:val="24"/>
        </w:rPr>
        <w:t>Está de más decir</w:t>
      </w:r>
      <w:r w:rsidR="004D166D">
        <w:rPr>
          <w:rFonts w:ascii="Century Gothic" w:hAnsi="Century Gothic" w:cs="Arial"/>
          <w:sz w:val="24"/>
          <w:szCs w:val="24"/>
        </w:rPr>
        <w:t xml:space="preserve"> que ambas definiciones guardan</w:t>
      </w:r>
      <w:r w:rsidR="009A461A">
        <w:rPr>
          <w:rFonts w:ascii="Century Gothic" w:hAnsi="Century Gothic" w:cs="Arial"/>
          <w:sz w:val="24"/>
          <w:szCs w:val="24"/>
        </w:rPr>
        <w:t xml:space="preserve"> gran relación, puesto que, no se puede concebir un desarrollo </w:t>
      </w:r>
      <w:r w:rsidR="00CE421E">
        <w:rPr>
          <w:rFonts w:ascii="Century Gothic" w:hAnsi="Century Gothic" w:cs="Arial"/>
          <w:sz w:val="24"/>
          <w:szCs w:val="24"/>
        </w:rPr>
        <w:t>verdaderamente sostenible, si las naciones no establecen marcos propicios que permitan a sus habitantes gozar de los derechos que son titulares, específicamente</w:t>
      </w:r>
      <w:r w:rsidR="004D166D">
        <w:rPr>
          <w:rFonts w:ascii="Century Gothic" w:hAnsi="Century Gothic" w:cs="Arial"/>
          <w:sz w:val="24"/>
          <w:szCs w:val="24"/>
        </w:rPr>
        <w:t>, del</w:t>
      </w:r>
      <w:r w:rsidR="00CE421E">
        <w:rPr>
          <w:rFonts w:ascii="Century Gothic" w:hAnsi="Century Gothic" w:cs="Arial"/>
          <w:sz w:val="24"/>
          <w:szCs w:val="24"/>
        </w:rPr>
        <w:t xml:space="preserve"> derecho que es objeto </w:t>
      </w:r>
      <w:r w:rsidR="004D166D">
        <w:rPr>
          <w:rFonts w:ascii="Century Gothic" w:hAnsi="Century Gothic" w:cs="Arial"/>
          <w:sz w:val="24"/>
          <w:szCs w:val="24"/>
        </w:rPr>
        <w:t xml:space="preserve">de estudio </w:t>
      </w:r>
      <w:r w:rsidR="00CE421E">
        <w:rPr>
          <w:rFonts w:ascii="Century Gothic" w:hAnsi="Century Gothic" w:cs="Arial"/>
          <w:sz w:val="24"/>
          <w:szCs w:val="24"/>
        </w:rPr>
        <w:t>en el presente texto, el derecho a la ciudad.</w:t>
      </w:r>
      <w:r w:rsidR="00240297">
        <w:rPr>
          <w:rFonts w:ascii="Century Gothic" w:hAnsi="Century Gothic" w:cs="Arial"/>
          <w:sz w:val="24"/>
          <w:szCs w:val="24"/>
        </w:rPr>
        <w:t xml:space="preserve"> Además, este derecho emergente por su carácter de interdependencia</w:t>
      </w:r>
      <w:r w:rsidR="00346B4E">
        <w:rPr>
          <w:rFonts w:ascii="Century Gothic" w:hAnsi="Century Gothic" w:cs="Arial"/>
          <w:sz w:val="24"/>
          <w:szCs w:val="24"/>
        </w:rPr>
        <w:t xml:space="preserve"> no surge de forma aislada a</w:t>
      </w:r>
      <w:r w:rsidR="00240297">
        <w:rPr>
          <w:rFonts w:ascii="Century Gothic" w:hAnsi="Century Gothic" w:cs="Arial"/>
          <w:sz w:val="24"/>
          <w:szCs w:val="24"/>
        </w:rPr>
        <w:t xml:space="preserve"> los derechos humanos ya consagrados en los distintos pactos y convenciones celebradas </w:t>
      </w:r>
      <w:r w:rsidR="00706D31">
        <w:rPr>
          <w:rFonts w:ascii="Century Gothic" w:hAnsi="Century Gothic" w:cs="Arial"/>
          <w:sz w:val="24"/>
          <w:szCs w:val="24"/>
        </w:rPr>
        <w:t>por los países signatarios de las Naciones Unidas</w:t>
      </w:r>
      <w:r w:rsidR="005517ED">
        <w:rPr>
          <w:rFonts w:ascii="Century Gothic" w:hAnsi="Century Gothic" w:cs="Arial"/>
          <w:sz w:val="24"/>
          <w:szCs w:val="24"/>
        </w:rPr>
        <w:t xml:space="preserve">, sirva como ejemplo mencionar </w:t>
      </w:r>
      <w:r w:rsidR="00817D66">
        <w:rPr>
          <w:rFonts w:ascii="Century Gothic" w:hAnsi="Century Gothic" w:cs="Arial"/>
          <w:sz w:val="24"/>
          <w:szCs w:val="24"/>
        </w:rPr>
        <w:t>el derecho a saneamiento básico y vivienda adecuada, enmarcados en la Declaración Universal de Derechos del Hombre</w:t>
      </w:r>
      <w:r w:rsidR="00AA78BF">
        <w:rPr>
          <w:rFonts w:ascii="Century Gothic" w:hAnsi="Century Gothic" w:cs="Arial"/>
          <w:sz w:val="24"/>
          <w:szCs w:val="24"/>
        </w:rPr>
        <w:t>.</w:t>
      </w:r>
      <w:r w:rsidR="00AA78BF">
        <w:rPr>
          <w:rStyle w:val="Refdenotaalpie"/>
          <w:rFonts w:ascii="Century Gothic" w:hAnsi="Century Gothic" w:cs="Arial"/>
          <w:sz w:val="24"/>
          <w:szCs w:val="24"/>
        </w:rPr>
        <w:footnoteReference w:id="3"/>
      </w:r>
      <w:r w:rsidR="00817D66">
        <w:rPr>
          <w:rFonts w:ascii="Century Gothic" w:hAnsi="Century Gothic" w:cs="Arial"/>
          <w:sz w:val="24"/>
          <w:szCs w:val="24"/>
        </w:rPr>
        <w:t xml:space="preserve"> </w:t>
      </w:r>
    </w:p>
    <w:p w:rsidR="00B25FAF" w:rsidRDefault="009A1A63" w:rsidP="00B25FAF">
      <w:pPr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lastRenderedPageBreak/>
        <w:tab/>
      </w:r>
      <w:r w:rsidR="0094625D">
        <w:rPr>
          <w:rFonts w:ascii="Century Gothic" w:hAnsi="Century Gothic" w:cs="Arial"/>
          <w:sz w:val="24"/>
          <w:szCs w:val="24"/>
        </w:rPr>
        <w:t>Ahora bien, entrando en materia, s</w:t>
      </w:r>
      <w:r w:rsidR="00BC3F14">
        <w:rPr>
          <w:rFonts w:ascii="Century Gothic" w:hAnsi="Century Gothic" w:cs="Arial"/>
          <w:sz w:val="24"/>
          <w:szCs w:val="24"/>
        </w:rPr>
        <w:t>egún la Agencia</w:t>
      </w:r>
      <w:r w:rsidR="00B25FAF">
        <w:rPr>
          <w:rFonts w:ascii="Century Gothic" w:hAnsi="Century Gothic" w:cs="Arial"/>
          <w:sz w:val="24"/>
          <w:szCs w:val="24"/>
        </w:rPr>
        <w:t xml:space="preserve"> </w:t>
      </w:r>
      <w:r w:rsidR="00A60A01">
        <w:rPr>
          <w:rFonts w:ascii="Century Gothic" w:hAnsi="Century Gothic" w:cs="Arial"/>
          <w:sz w:val="24"/>
          <w:szCs w:val="24"/>
        </w:rPr>
        <w:t>de la ONU para los Asentamientos Humanos (ONU-Hábitat), debido al aumento</w:t>
      </w:r>
      <w:r w:rsidR="00F74747">
        <w:rPr>
          <w:rFonts w:ascii="Century Gothic" w:hAnsi="Century Gothic" w:cs="Arial"/>
          <w:sz w:val="24"/>
          <w:szCs w:val="24"/>
        </w:rPr>
        <w:t xml:space="preserve"> descontrolado</w:t>
      </w:r>
      <w:r w:rsidR="00A60A01">
        <w:rPr>
          <w:rFonts w:ascii="Century Gothic" w:hAnsi="Century Gothic" w:cs="Arial"/>
          <w:sz w:val="24"/>
          <w:szCs w:val="24"/>
        </w:rPr>
        <w:t xml:space="preserve"> de la densidad demográfica,</w:t>
      </w:r>
      <w:r w:rsidR="00F74747">
        <w:rPr>
          <w:rFonts w:ascii="Century Gothic" w:hAnsi="Century Gothic" w:cs="Arial"/>
          <w:sz w:val="24"/>
          <w:szCs w:val="24"/>
        </w:rPr>
        <w:t xml:space="preserve"> aunado al deseo de las personas por buscar un asentamiento estable que les permita desenvolverse libremente en los distintos ámbitos de la sociedad</w:t>
      </w:r>
      <w:r w:rsidR="009F34CF">
        <w:rPr>
          <w:rFonts w:ascii="Century Gothic" w:hAnsi="Century Gothic" w:cs="Arial"/>
          <w:sz w:val="24"/>
          <w:szCs w:val="24"/>
        </w:rPr>
        <w:t xml:space="preserve"> (económico, cultural, político, etc.)</w:t>
      </w:r>
      <w:r w:rsidR="00F74747">
        <w:rPr>
          <w:rFonts w:ascii="Century Gothic" w:hAnsi="Century Gothic" w:cs="Arial"/>
          <w:sz w:val="24"/>
          <w:szCs w:val="24"/>
        </w:rPr>
        <w:t>,</w:t>
      </w:r>
      <w:r w:rsidR="00A60A01">
        <w:rPr>
          <w:rFonts w:ascii="Century Gothic" w:hAnsi="Century Gothic" w:cs="Arial"/>
          <w:sz w:val="24"/>
          <w:szCs w:val="24"/>
        </w:rPr>
        <w:t xml:space="preserve"> </w:t>
      </w:r>
      <w:r w:rsidR="00817648">
        <w:rPr>
          <w:rFonts w:ascii="Century Gothic" w:hAnsi="Century Gothic" w:cs="Arial"/>
          <w:sz w:val="24"/>
          <w:szCs w:val="24"/>
        </w:rPr>
        <w:t xml:space="preserve">al llegar 2030, </w:t>
      </w:r>
      <w:r w:rsidR="00A60A01">
        <w:rPr>
          <w:rFonts w:ascii="Century Gothic" w:hAnsi="Century Gothic" w:cs="Arial"/>
          <w:sz w:val="24"/>
          <w:szCs w:val="24"/>
        </w:rPr>
        <w:t>alrededor d</w:t>
      </w:r>
      <w:r w:rsidR="00817648">
        <w:rPr>
          <w:rFonts w:ascii="Century Gothic" w:hAnsi="Century Gothic" w:cs="Arial"/>
          <w:sz w:val="24"/>
          <w:szCs w:val="24"/>
        </w:rPr>
        <w:t>el 6</w:t>
      </w:r>
      <w:r w:rsidR="00B25FAF">
        <w:rPr>
          <w:rFonts w:ascii="Century Gothic" w:hAnsi="Century Gothic" w:cs="Arial"/>
          <w:sz w:val="24"/>
          <w:szCs w:val="24"/>
        </w:rPr>
        <w:t xml:space="preserve">0% de la población mundial habitará en </w:t>
      </w:r>
      <w:r w:rsidR="00014A66">
        <w:rPr>
          <w:rFonts w:ascii="Century Gothic" w:hAnsi="Century Gothic" w:cs="Arial"/>
          <w:sz w:val="24"/>
          <w:szCs w:val="24"/>
        </w:rPr>
        <w:t>las ciudades.</w:t>
      </w:r>
      <w:r w:rsidR="008F7F7F">
        <w:rPr>
          <w:rFonts w:ascii="Century Gothic" w:hAnsi="Century Gothic" w:cs="Arial"/>
          <w:sz w:val="24"/>
          <w:szCs w:val="24"/>
        </w:rPr>
        <w:t xml:space="preserve"> </w:t>
      </w:r>
      <w:r w:rsidR="00014A66">
        <w:rPr>
          <w:rFonts w:ascii="Century Gothic" w:hAnsi="Century Gothic" w:cs="Arial"/>
          <w:sz w:val="24"/>
          <w:szCs w:val="24"/>
        </w:rPr>
        <w:t>S</w:t>
      </w:r>
      <w:r w:rsidR="00A60A01">
        <w:rPr>
          <w:rFonts w:ascii="Century Gothic" w:hAnsi="Century Gothic" w:cs="Arial"/>
          <w:sz w:val="24"/>
          <w:szCs w:val="24"/>
        </w:rPr>
        <w:t xml:space="preserve">in duda alguna, </w:t>
      </w:r>
      <w:r w:rsidR="00A1411D">
        <w:rPr>
          <w:rFonts w:ascii="Century Gothic" w:hAnsi="Century Gothic" w:cs="Arial"/>
          <w:sz w:val="24"/>
          <w:szCs w:val="24"/>
        </w:rPr>
        <w:t>dicho</w:t>
      </w:r>
      <w:r w:rsidR="00A60A01">
        <w:rPr>
          <w:rFonts w:ascii="Century Gothic" w:hAnsi="Century Gothic" w:cs="Arial"/>
          <w:sz w:val="24"/>
          <w:szCs w:val="24"/>
        </w:rPr>
        <w:t xml:space="preserve"> crecimiento vendrá</w:t>
      </w:r>
      <w:r w:rsidR="004B14C4">
        <w:rPr>
          <w:rFonts w:ascii="Century Gothic" w:hAnsi="Century Gothic" w:cs="Arial"/>
          <w:sz w:val="24"/>
          <w:szCs w:val="24"/>
        </w:rPr>
        <w:t xml:space="preserve"> acompañado por grandes</w:t>
      </w:r>
      <w:r w:rsidR="00A1411D">
        <w:rPr>
          <w:rFonts w:ascii="Century Gothic" w:hAnsi="Century Gothic" w:cs="Arial"/>
          <w:sz w:val="24"/>
          <w:szCs w:val="24"/>
        </w:rPr>
        <w:t xml:space="preserve"> aumento</w:t>
      </w:r>
      <w:r w:rsidR="004B14C4">
        <w:rPr>
          <w:rFonts w:ascii="Century Gothic" w:hAnsi="Century Gothic" w:cs="Arial"/>
          <w:sz w:val="24"/>
          <w:szCs w:val="24"/>
        </w:rPr>
        <w:t>s</w:t>
      </w:r>
      <w:r w:rsidR="00A60A01">
        <w:rPr>
          <w:rFonts w:ascii="Century Gothic" w:hAnsi="Century Gothic" w:cs="Arial"/>
          <w:sz w:val="24"/>
          <w:szCs w:val="24"/>
        </w:rPr>
        <w:t xml:space="preserve"> en materia de desigualdad social, delincuencia</w:t>
      </w:r>
      <w:r w:rsidR="00F345D0">
        <w:rPr>
          <w:rFonts w:ascii="Century Gothic" w:hAnsi="Century Gothic" w:cs="Arial"/>
          <w:sz w:val="24"/>
          <w:szCs w:val="24"/>
        </w:rPr>
        <w:t>, violencia y desorden, lo que es realmente preocupante para la comunidad internacional</w:t>
      </w:r>
      <w:r w:rsidR="007C72C5">
        <w:rPr>
          <w:rFonts w:ascii="Century Gothic" w:hAnsi="Century Gothic" w:cs="Arial"/>
          <w:sz w:val="24"/>
          <w:szCs w:val="24"/>
        </w:rPr>
        <w:t xml:space="preserve"> en general,</w:t>
      </w:r>
      <w:r w:rsidR="00F345D0">
        <w:rPr>
          <w:rFonts w:ascii="Century Gothic" w:hAnsi="Century Gothic" w:cs="Arial"/>
          <w:sz w:val="24"/>
          <w:szCs w:val="24"/>
        </w:rPr>
        <w:t xml:space="preserve"> en cuanto a garantía de Derechos Humanos y</w:t>
      </w:r>
      <w:r w:rsidR="00BE109F">
        <w:rPr>
          <w:rFonts w:ascii="Century Gothic" w:hAnsi="Century Gothic" w:cs="Arial"/>
          <w:sz w:val="24"/>
          <w:szCs w:val="24"/>
        </w:rPr>
        <w:t xml:space="preserve"> promoción del</w:t>
      </w:r>
      <w:r w:rsidR="00F345D0">
        <w:rPr>
          <w:rFonts w:ascii="Century Gothic" w:hAnsi="Century Gothic" w:cs="Arial"/>
          <w:sz w:val="24"/>
          <w:szCs w:val="24"/>
        </w:rPr>
        <w:t xml:space="preserve"> Desarrollo Sostenible se refiere.</w:t>
      </w:r>
      <w:r w:rsidR="004350FA">
        <w:rPr>
          <w:rFonts w:ascii="Century Gothic" w:hAnsi="Century Gothic" w:cs="Arial"/>
          <w:sz w:val="24"/>
          <w:szCs w:val="24"/>
        </w:rPr>
        <w:t xml:space="preserve"> </w:t>
      </w:r>
    </w:p>
    <w:p w:rsidR="000D2136" w:rsidRDefault="005A0548" w:rsidP="00B25FAF">
      <w:pPr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ab/>
        <w:t xml:space="preserve">Lo descrito en el aparte anterior, solo representa la punta del iceberg en cuanto al desafío que enfrentan las ciudades actuales alrededor del mundo, para que las mismas sean equitativas e inclusivas </w:t>
      </w:r>
      <w:r w:rsidR="004B421E">
        <w:rPr>
          <w:rFonts w:ascii="Century Gothic" w:hAnsi="Century Gothic" w:cs="Arial"/>
          <w:sz w:val="24"/>
          <w:szCs w:val="24"/>
        </w:rPr>
        <w:t>y puedan garantizar el cabal ejercicio de los Derec</w:t>
      </w:r>
      <w:r w:rsidR="001E054A">
        <w:rPr>
          <w:rFonts w:ascii="Century Gothic" w:hAnsi="Century Gothic" w:cs="Arial"/>
          <w:sz w:val="24"/>
          <w:szCs w:val="24"/>
        </w:rPr>
        <w:t>hos Humanos</w:t>
      </w:r>
      <w:r w:rsidR="000D2136">
        <w:rPr>
          <w:rFonts w:ascii="Century Gothic" w:hAnsi="Century Gothic" w:cs="Arial"/>
          <w:sz w:val="24"/>
          <w:szCs w:val="24"/>
        </w:rPr>
        <w:t xml:space="preserve"> (derechos que han sido ratificados y adoptados por las naciones que conforman la comunidad internacional en su legislación interna, materializando así el carácter universal de los mismos)</w:t>
      </w:r>
      <w:r w:rsidR="00A21253">
        <w:rPr>
          <w:rFonts w:ascii="Century Gothic" w:hAnsi="Century Gothic" w:cs="Arial"/>
          <w:sz w:val="24"/>
          <w:szCs w:val="24"/>
        </w:rPr>
        <w:t>, incluido el derecho a ciudad,</w:t>
      </w:r>
      <w:r w:rsidR="001E054A">
        <w:rPr>
          <w:rFonts w:ascii="Century Gothic" w:hAnsi="Century Gothic" w:cs="Arial"/>
          <w:sz w:val="24"/>
          <w:szCs w:val="24"/>
        </w:rPr>
        <w:t xml:space="preserve"> a los ciudadanos</w:t>
      </w:r>
      <w:r w:rsidR="000D2136">
        <w:rPr>
          <w:rFonts w:ascii="Century Gothic" w:hAnsi="Century Gothic" w:cs="Arial"/>
          <w:sz w:val="24"/>
          <w:szCs w:val="24"/>
        </w:rPr>
        <w:t xml:space="preserve"> que habitan en ellas.</w:t>
      </w:r>
    </w:p>
    <w:p w:rsidR="00812EAA" w:rsidRDefault="00812EAA" w:rsidP="00B25FAF">
      <w:pPr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ab/>
      </w:r>
      <w:r w:rsidR="0070140F">
        <w:rPr>
          <w:rFonts w:ascii="Century Gothic" w:hAnsi="Century Gothic" w:cs="Arial"/>
          <w:sz w:val="24"/>
          <w:szCs w:val="24"/>
        </w:rPr>
        <w:t>Tal como establece Correa (2010) en una de sus obras</w:t>
      </w:r>
      <w:r w:rsidR="0070140F">
        <w:rPr>
          <w:rStyle w:val="Refdenotaalpie"/>
          <w:rFonts w:ascii="Century Gothic" w:hAnsi="Century Gothic" w:cs="Arial"/>
          <w:sz w:val="24"/>
          <w:szCs w:val="24"/>
        </w:rPr>
        <w:footnoteReference w:id="4"/>
      </w:r>
      <w:r w:rsidR="0070140F">
        <w:rPr>
          <w:rFonts w:ascii="Century Gothic" w:hAnsi="Century Gothic" w:cs="Arial"/>
          <w:sz w:val="24"/>
          <w:szCs w:val="24"/>
        </w:rPr>
        <w:t>, l</w:t>
      </w:r>
      <w:r>
        <w:rPr>
          <w:rFonts w:ascii="Century Gothic" w:hAnsi="Century Gothic" w:cs="Arial"/>
          <w:sz w:val="24"/>
          <w:szCs w:val="24"/>
        </w:rPr>
        <w:t>a ciudad es el medio esencial para la g</w:t>
      </w:r>
      <w:r w:rsidR="00145FEE">
        <w:rPr>
          <w:rFonts w:ascii="Century Gothic" w:hAnsi="Century Gothic" w:cs="Arial"/>
          <w:sz w:val="24"/>
          <w:szCs w:val="24"/>
        </w:rPr>
        <w:t>arantía de los derechos humanos,</w:t>
      </w:r>
      <w:r w:rsidR="0070140F">
        <w:rPr>
          <w:rFonts w:ascii="Century Gothic" w:hAnsi="Century Gothic" w:cs="Arial"/>
          <w:sz w:val="24"/>
          <w:szCs w:val="24"/>
        </w:rPr>
        <w:t xml:space="preserve"> y sin objetar dicha afirmación, me apego a la misma,</w:t>
      </w:r>
      <w:r w:rsidR="00145FEE">
        <w:rPr>
          <w:rFonts w:ascii="Century Gothic" w:hAnsi="Century Gothic" w:cs="Arial"/>
          <w:sz w:val="24"/>
          <w:szCs w:val="24"/>
        </w:rPr>
        <w:t xml:space="preserve"> por tal motivo,</w:t>
      </w:r>
      <w:r w:rsidR="0070140F">
        <w:rPr>
          <w:rFonts w:ascii="Century Gothic" w:hAnsi="Century Gothic" w:cs="Arial"/>
          <w:sz w:val="24"/>
          <w:szCs w:val="24"/>
        </w:rPr>
        <w:t xml:space="preserve"> es recomendable</w:t>
      </w:r>
      <w:r w:rsidR="00082A9F">
        <w:rPr>
          <w:rFonts w:ascii="Century Gothic" w:hAnsi="Century Gothic" w:cs="Arial"/>
          <w:sz w:val="24"/>
          <w:szCs w:val="24"/>
        </w:rPr>
        <w:t xml:space="preserve"> que</w:t>
      </w:r>
      <w:r w:rsidR="00145FEE">
        <w:rPr>
          <w:rFonts w:ascii="Century Gothic" w:hAnsi="Century Gothic" w:cs="Arial"/>
          <w:sz w:val="24"/>
          <w:szCs w:val="24"/>
        </w:rPr>
        <w:t xml:space="preserve"> toda planificación</w:t>
      </w:r>
      <w:r w:rsidR="00E131B1">
        <w:rPr>
          <w:rFonts w:ascii="Century Gothic" w:hAnsi="Century Gothic" w:cs="Arial"/>
          <w:sz w:val="24"/>
          <w:szCs w:val="24"/>
        </w:rPr>
        <w:t xml:space="preserve"> realizada por las autoridades estatales</w:t>
      </w:r>
      <w:r w:rsidR="00145FEE">
        <w:rPr>
          <w:rFonts w:ascii="Century Gothic" w:hAnsi="Century Gothic" w:cs="Arial"/>
          <w:sz w:val="24"/>
          <w:szCs w:val="24"/>
        </w:rPr>
        <w:t>, bien que esta sea</w:t>
      </w:r>
      <w:r w:rsidR="001E0CDF">
        <w:rPr>
          <w:rFonts w:ascii="Century Gothic" w:hAnsi="Century Gothic" w:cs="Arial"/>
          <w:sz w:val="24"/>
          <w:szCs w:val="24"/>
        </w:rPr>
        <w:t>,</w:t>
      </w:r>
      <w:r w:rsidR="00145FEE">
        <w:rPr>
          <w:rFonts w:ascii="Century Gothic" w:hAnsi="Century Gothic" w:cs="Arial"/>
          <w:sz w:val="24"/>
          <w:szCs w:val="24"/>
        </w:rPr>
        <w:t xml:space="preserve"> social, espacial o económica se debe realizar de una forma íntegra</w:t>
      </w:r>
      <w:r w:rsidR="00CD3BC2">
        <w:rPr>
          <w:rFonts w:ascii="Century Gothic" w:hAnsi="Century Gothic" w:cs="Arial"/>
          <w:sz w:val="24"/>
          <w:szCs w:val="24"/>
        </w:rPr>
        <w:t>,</w:t>
      </w:r>
      <w:r w:rsidR="00145FEE">
        <w:rPr>
          <w:rFonts w:ascii="Century Gothic" w:hAnsi="Century Gothic" w:cs="Arial"/>
          <w:sz w:val="24"/>
          <w:szCs w:val="24"/>
        </w:rPr>
        <w:t xml:space="preserve"> tomando </w:t>
      </w:r>
      <w:r w:rsidR="00CD3BC2">
        <w:rPr>
          <w:rFonts w:ascii="Century Gothic" w:hAnsi="Century Gothic" w:cs="Arial"/>
          <w:sz w:val="24"/>
          <w:szCs w:val="24"/>
        </w:rPr>
        <w:t>en cuenta Los Objetivos de Desarrollo Sostenible establecidos por la ONU</w:t>
      </w:r>
      <w:r w:rsidR="008C77C5">
        <w:rPr>
          <w:rFonts w:ascii="Century Gothic" w:hAnsi="Century Gothic" w:cs="Arial"/>
          <w:sz w:val="24"/>
          <w:szCs w:val="24"/>
        </w:rPr>
        <w:t xml:space="preserve"> en 2015</w:t>
      </w:r>
      <w:r w:rsidR="004D3F10">
        <w:rPr>
          <w:rStyle w:val="Refdenotaalpie"/>
          <w:rFonts w:ascii="Century Gothic" w:hAnsi="Century Gothic" w:cs="Arial"/>
          <w:sz w:val="24"/>
          <w:szCs w:val="24"/>
        </w:rPr>
        <w:footnoteReference w:id="5"/>
      </w:r>
      <w:r w:rsidR="00CD3BC2">
        <w:rPr>
          <w:rFonts w:ascii="Century Gothic" w:hAnsi="Century Gothic" w:cs="Arial"/>
          <w:sz w:val="24"/>
          <w:szCs w:val="24"/>
        </w:rPr>
        <w:t xml:space="preserve"> y los Ejes</w:t>
      </w:r>
      <w:r w:rsidR="001168C3">
        <w:rPr>
          <w:rFonts w:ascii="Century Gothic" w:hAnsi="Century Gothic" w:cs="Arial"/>
          <w:sz w:val="24"/>
          <w:szCs w:val="24"/>
        </w:rPr>
        <w:t xml:space="preserve"> Básicos</w:t>
      </w:r>
      <w:r w:rsidR="00CD3BC2">
        <w:rPr>
          <w:rFonts w:ascii="Century Gothic" w:hAnsi="Century Gothic" w:cs="Arial"/>
          <w:sz w:val="24"/>
          <w:szCs w:val="24"/>
        </w:rPr>
        <w:t xml:space="preserve"> del mismo</w:t>
      </w:r>
      <w:r w:rsidR="00145FEE">
        <w:rPr>
          <w:rStyle w:val="Refdenotaalpie"/>
          <w:rFonts w:ascii="Century Gothic" w:hAnsi="Century Gothic" w:cs="Arial"/>
          <w:sz w:val="24"/>
          <w:szCs w:val="24"/>
        </w:rPr>
        <w:footnoteReference w:id="6"/>
      </w:r>
      <w:r w:rsidR="00CD3BC2">
        <w:rPr>
          <w:rFonts w:ascii="Century Gothic" w:hAnsi="Century Gothic" w:cs="Arial"/>
          <w:sz w:val="24"/>
          <w:szCs w:val="24"/>
        </w:rPr>
        <w:t xml:space="preserve">, </w:t>
      </w:r>
      <w:r w:rsidR="0095020D">
        <w:rPr>
          <w:rFonts w:ascii="Century Gothic" w:hAnsi="Century Gothic" w:cs="Arial"/>
          <w:sz w:val="24"/>
          <w:szCs w:val="24"/>
        </w:rPr>
        <w:t xml:space="preserve">así como también, teniendo como base fundamental la dignidad y la libertad humana, </w:t>
      </w:r>
      <w:r w:rsidR="00C20843">
        <w:rPr>
          <w:rFonts w:ascii="Century Gothic" w:hAnsi="Century Gothic" w:cs="Arial"/>
          <w:sz w:val="24"/>
          <w:szCs w:val="24"/>
        </w:rPr>
        <w:t>ya que, como es sabido, son las personas las que hacen verdaderamente que una ciudad funcione y se desarrolle</w:t>
      </w:r>
      <w:r w:rsidR="00082A9F">
        <w:rPr>
          <w:rFonts w:ascii="Century Gothic" w:hAnsi="Century Gothic" w:cs="Arial"/>
          <w:sz w:val="24"/>
          <w:szCs w:val="24"/>
        </w:rPr>
        <w:t xml:space="preserve"> y solo tomando en cuenta factores como los ya mencionados en este aparte, se puede lograr una justicia social nacional, regional e incluso internacional.</w:t>
      </w:r>
      <w:r w:rsidR="00F04E0D">
        <w:rPr>
          <w:rFonts w:ascii="Century Gothic" w:hAnsi="Century Gothic" w:cs="Arial"/>
          <w:sz w:val="24"/>
          <w:szCs w:val="24"/>
        </w:rPr>
        <w:t xml:space="preserve"> También</w:t>
      </w:r>
      <w:r w:rsidR="00EB0E77">
        <w:rPr>
          <w:rFonts w:ascii="Century Gothic" w:hAnsi="Century Gothic" w:cs="Arial"/>
          <w:sz w:val="24"/>
          <w:szCs w:val="24"/>
        </w:rPr>
        <w:t>, se hace imperante afirmar,</w:t>
      </w:r>
      <w:r w:rsidR="00F04E0D">
        <w:rPr>
          <w:rFonts w:ascii="Century Gothic" w:hAnsi="Century Gothic" w:cs="Arial"/>
          <w:sz w:val="24"/>
          <w:szCs w:val="24"/>
        </w:rPr>
        <w:t xml:space="preserve"> en esta materia</w:t>
      </w:r>
      <w:r w:rsidR="00EB0E77">
        <w:rPr>
          <w:rFonts w:ascii="Century Gothic" w:hAnsi="Century Gothic" w:cs="Arial"/>
          <w:sz w:val="24"/>
          <w:szCs w:val="24"/>
        </w:rPr>
        <w:t>,</w:t>
      </w:r>
      <w:r w:rsidR="00F04E0D">
        <w:rPr>
          <w:rFonts w:ascii="Century Gothic" w:hAnsi="Century Gothic" w:cs="Arial"/>
          <w:sz w:val="24"/>
          <w:szCs w:val="24"/>
        </w:rPr>
        <w:t xml:space="preserve"> que l</w:t>
      </w:r>
      <w:r w:rsidR="00EB0E77">
        <w:rPr>
          <w:rFonts w:ascii="Century Gothic" w:hAnsi="Century Gothic" w:cs="Arial"/>
          <w:sz w:val="24"/>
          <w:szCs w:val="24"/>
        </w:rPr>
        <w:t>a planificación urbana</w:t>
      </w:r>
      <w:r w:rsidR="00503D1E">
        <w:rPr>
          <w:rFonts w:ascii="Century Gothic" w:hAnsi="Century Gothic" w:cs="Arial"/>
          <w:sz w:val="24"/>
          <w:szCs w:val="24"/>
        </w:rPr>
        <w:t>, donde el pueblo en el ejercicio de su soberanía participe en la formulación de la misma,</w:t>
      </w:r>
      <w:r w:rsidR="00E131B1">
        <w:rPr>
          <w:rFonts w:ascii="Century Gothic" w:hAnsi="Century Gothic" w:cs="Arial"/>
          <w:sz w:val="24"/>
          <w:szCs w:val="24"/>
        </w:rPr>
        <w:t xml:space="preserve"> constituye el instrumento esencia</w:t>
      </w:r>
      <w:r w:rsidR="005B0418">
        <w:rPr>
          <w:rFonts w:ascii="Century Gothic" w:hAnsi="Century Gothic" w:cs="Arial"/>
          <w:sz w:val="24"/>
          <w:szCs w:val="24"/>
        </w:rPr>
        <w:t>l,</w:t>
      </w:r>
      <w:r w:rsidR="00E131B1">
        <w:rPr>
          <w:rFonts w:ascii="Century Gothic" w:hAnsi="Century Gothic" w:cs="Arial"/>
          <w:sz w:val="24"/>
          <w:szCs w:val="24"/>
        </w:rPr>
        <w:t xml:space="preserve"> </w:t>
      </w:r>
      <w:r w:rsidR="00F04E0D">
        <w:rPr>
          <w:rFonts w:ascii="Century Gothic" w:hAnsi="Century Gothic" w:cs="Arial"/>
          <w:sz w:val="24"/>
          <w:szCs w:val="24"/>
        </w:rPr>
        <w:t>en virtud del cual se pueden lograr grandes objetivos dentro de una ciudad,</w:t>
      </w:r>
      <w:r w:rsidR="005B0418">
        <w:rPr>
          <w:rFonts w:ascii="Century Gothic" w:hAnsi="Century Gothic" w:cs="Arial"/>
          <w:sz w:val="24"/>
          <w:szCs w:val="24"/>
        </w:rPr>
        <w:t xml:space="preserve"> </w:t>
      </w:r>
      <w:r w:rsidR="00503D1E">
        <w:rPr>
          <w:rFonts w:ascii="Century Gothic" w:hAnsi="Century Gothic" w:cs="Arial"/>
          <w:sz w:val="24"/>
          <w:szCs w:val="24"/>
        </w:rPr>
        <w:t xml:space="preserve">como el aseguramiento de </w:t>
      </w:r>
      <w:r w:rsidR="00FB1280">
        <w:rPr>
          <w:rFonts w:ascii="Century Gothic" w:hAnsi="Century Gothic" w:cs="Arial"/>
          <w:sz w:val="24"/>
          <w:szCs w:val="24"/>
        </w:rPr>
        <w:t>una</w:t>
      </w:r>
      <w:r w:rsidR="008D50D6">
        <w:rPr>
          <w:rFonts w:ascii="Century Gothic" w:hAnsi="Century Gothic" w:cs="Arial"/>
          <w:sz w:val="24"/>
          <w:szCs w:val="24"/>
        </w:rPr>
        <w:t xml:space="preserve"> distribución </w:t>
      </w:r>
      <w:r w:rsidR="00FB1280">
        <w:rPr>
          <w:rFonts w:ascii="Century Gothic" w:hAnsi="Century Gothic" w:cs="Arial"/>
          <w:sz w:val="24"/>
          <w:szCs w:val="24"/>
        </w:rPr>
        <w:t xml:space="preserve">equitativa </w:t>
      </w:r>
      <w:r w:rsidR="008D50D6">
        <w:rPr>
          <w:rFonts w:ascii="Century Gothic" w:hAnsi="Century Gothic" w:cs="Arial"/>
          <w:sz w:val="24"/>
          <w:szCs w:val="24"/>
        </w:rPr>
        <w:t>de recursos entre la población</w:t>
      </w:r>
      <w:r w:rsidR="00503D1E">
        <w:rPr>
          <w:rFonts w:ascii="Century Gothic" w:hAnsi="Century Gothic" w:cs="Arial"/>
          <w:sz w:val="24"/>
          <w:szCs w:val="24"/>
        </w:rPr>
        <w:t xml:space="preserve"> </w:t>
      </w:r>
      <w:r w:rsidR="00FB1280">
        <w:rPr>
          <w:rFonts w:ascii="Century Gothic" w:hAnsi="Century Gothic" w:cs="Arial"/>
          <w:sz w:val="24"/>
          <w:szCs w:val="24"/>
        </w:rPr>
        <w:t>(Justicia Social),</w:t>
      </w:r>
      <w:r w:rsidR="00D7492D">
        <w:rPr>
          <w:rFonts w:ascii="Century Gothic" w:hAnsi="Century Gothic" w:cs="Arial"/>
          <w:sz w:val="24"/>
          <w:szCs w:val="24"/>
        </w:rPr>
        <w:t xml:space="preserve"> desarrollo económico local, aumento en el índice de desarrollo humano</w:t>
      </w:r>
      <w:r w:rsidR="00FB1280">
        <w:rPr>
          <w:rFonts w:ascii="Century Gothic" w:hAnsi="Century Gothic" w:cs="Arial"/>
          <w:sz w:val="24"/>
          <w:szCs w:val="24"/>
        </w:rPr>
        <w:t xml:space="preserve"> </w:t>
      </w:r>
      <w:r w:rsidR="00503D1E">
        <w:rPr>
          <w:rFonts w:ascii="Century Gothic" w:hAnsi="Century Gothic" w:cs="Arial"/>
          <w:sz w:val="24"/>
          <w:szCs w:val="24"/>
        </w:rPr>
        <w:t>y</w:t>
      </w:r>
      <w:r w:rsidR="008D50D6">
        <w:rPr>
          <w:rFonts w:ascii="Century Gothic" w:hAnsi="Century Gothic" w:cs="Arial"/>
          <w:sz w:val="24"/>
          <w:szCs w:val="24"/>
        </w:rPr>
        <w:t xml:space="preserve"> el </w:t>
      </w:r>
      <w:r w:rsidR="002A6604">
        <w:rPr>
          <w:rFonts w:ascii="Century Gothic" w:hAnsi="Century Gothic" w:cs="Arial"/>
          <w:sz w:val="24"/>
          <w:szCs w:val="24"/>
        </w:rPr>
        <w:t>alcance</w:t>
      </w:r>
      <w:r w:rsidR="00503D1E">
        <w:rPr>
          <w:rFonts w:ascii="Century Gothic" w:hAnsi="Century Gothic" w:cs="Arial"/>
          <w:sz w:val="24"/>
          <w:szCs w:val="24"/>
        </w:rPr>
        <w:t xml:space="preserve"> de un Estado Social de derecho.</w:t>
      </w:r>
    </w:p>
    <w:p w:rsidR="008A2445" w:rsidRDefault="00D860D4" w:rsidP="00D860D4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 xml:space="preserve">Siempre se debe tener presente que garantizar el cumplimiento de los Derechos Humanos </w:t>
      </w:r>
      <w:r w:rsidR="002E5669">
        <w:rPr>
          <w:rFonts w:ascii="Century Gothic" w:hAnsi="Century Gothic"/>
          <w:sz w:val="24"/>
          <w:szCs w:val="24"/>
        </w:rPr>
        <w:t>en general</w:t>
      </w:r>
      <w:r w:rsidR="005B3B31">
        <w:rPr>
          <w:rFonts w:ascii="Century Gothic" w:hAnsi="Century Gothic"/>
          <w:sz w:val="24"/>
          <w:szCs w:val="24"/>
        </w:rPr>
        <w:t>,</w:t>
      </w:r>
      <w:r w:rsidR="002E5669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no es un favor que realiza el estado</w:t>
      </w:r>
      <w:r w:rsidR="005B3B31">
        <w:rPr>
          <w:rFonts w:ascii="Century Gothic" w:hAnsi="Century Gothic"/>
          <w:sz w:val="24"/>
          <w:szCs w:val="24"/>
        </w:rPr>
        <w:t xml:space="preserve"> de forma espontánea</w:t>
      </w:r>
      <w:r>
        <w:rPr>
          <w:rFonts w:ascii="Century Gothic" w:hAnsi="Century Gothic"/>
          <w:sz w:val="24"/>
          <w:szCs w:val="24"/>
        </w:rPr>
        <w:t xml:space="preserve"> en beneficio de sus administrados; el estado se encuentra complet</w:t>
      </w:r>
      <w:r w:rsidR="002E5669">
        <w:rPr>
          <w:rFonts w:ascii="Century Gothic" w:hAnsi="Century Gothic"/>
          <w:sz w:val="24"/>
          <w:szCs w:val="24"/>
        </w:rPr>
        <w:t>amente obligado a garantizarlos y</w:t>
      </w:r>
      <w:r w:rsidR="008A2445">
        <w:rPr>
          <w:rFonts w:ascii="Century Gothic" w:hAnsi="Century Gothic"/>
          <w:sz w:val="24"/>
          <w:szCs w:val="24"/>
        </w:rPr>
        <w:t xml:space="preserve"> que en el proceso de creación de medios para materializar dichos derechos, el mismo no puede atentar contra algunos excusándose en la garantía de otros, ejemplo: El </w:t>
      </w:r>
      <w:r w:rsidR="008A2445">
        <w:rPr>
          <w:rFonts w:ascii="Century Gothic" w:hAnsi="Century Gothic"/>
          <w:sz w:val="24"/>
          <w:szCs w:val="24"/>
        </w:rPr>
        <w:lastRenderedPageBreak/>
        <w:t xml:space="preserve">Estado por garantizarnos el derecho a un vivienda digna no puede perjudicarnos en el ejercicio de nuestro derecho a un trabajo decente o al derecho a asistir a espacios públicos para interactuar con otras personas de forma lícita. </w:t>
      </w:r>
      <w:r w:rsidR="002E5669">
        <w:rPr>
          <w:rFonts w:ascii="Century Gothic" w:hAnsi="Century Gothic"/>
          <w:sz w:val="24"/>
          <w:szCs w:val="24"/>
        </w:rPr>
        <w:t xml:space="preserve"> </w:t>
      </w:r>
    </w:p>
    <w:p w:rsidR="00FD0A08" w:rsidRPr="00D860D4" w:rsidRDefault="00D860D4" w:rsidP="00D860D4">
      <w:pPr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ab/>
      </w:r>
      <w:r w:rsidR="00A60A01" w:rsidRPr="00A60A01">
        <w:rPr>
          <w:rFonts w:ascii="Century Gothic" w:hAnsi="Century Gothic" w:cs="Arial"/>
          <w:sz w:val="24"/>
          <w:szCs w:val="24"/>
        </w:rPr>
        <w:t>Finalmente</w:t>
      </w:r>
      <w:r w:rsidR="00FD0A08" w:rsidRPr="00A60A01">
        <w:rPr>
          <w:rFonts w:ascii="Century Gothic" w:hAnsi="Century Gothic" w:cs="Arial"/>
          <w:sz w:val="24"/>
          <w:szCs w:val="24"/>
        </w:rPr>
        <w:t>,</w:t>
      </w:r>
      <w:r w:rsidR="007C3DD1">
        <w:rPr>
          <w:rFonts w:ascii="Century Gothic" w:hAnsi="Century Gothic" w:cs="Arial"/>
          <w:sz w:val="24"/>
          <w:szCs w:val="24"/>
        </w:rPr>
        <w:t xml:space="preserve"> se hace necesario acotar que,</w:t>
      </w:r>
      <w:r w:rsidR="008A2445">
        <w:rPr>
          <w:rFonts w:ascii="Century Gothic" w:hAnsi="Century Gothic" w:cs="Arial"/>
          <w:sz w:val="24"/>
          <w:szCs w:val="24"/>
        </w:rPr>
        <w:t xml:space="preserve"> </w:t>
      </w:r>
      <w:r w:rsidR="008A2445">
        <w:rPr>
          <w:rFonts w:ascii="Century Gothic" w:hAnsi="Century Gothic"/>
          <w:sz w:val="24"/>
          <w:szCs w:val="24"/>
        </w:rPr>
        <w:t xml:space="preserve">los Derechos Humanos suponen el fundamento en el cual se asienta el Estado de Derecho y que </w:t>
      </w:r>
      <w:r w:rsidR="00A60A01" w:rsidRPr="00A60A01">
        <w:rPr>
          <w:rFonts w:ascii="Century Gothic" w:hAnsi="Century Gothic" w:cs="Arial"/>
          <w:sz w:val="24"/>
          <w:szCs w:val="24"/>
        </w:rPr>
        <w:t xml:space="preserve"> </w:t>
      </w:r>
      <w:r w:rsidR="007C3DD1">
        <w:rPr>
          <w:rFonts w:ascii="Century Gothic" w:hAnsi="Century Gothic" w:cs="Galliard-Roman"/>
          <w:sz w:val="24"/>
          <w:szCs w:val="24"/>
        </w:rPr>
        <w:t>el derecho a la ciudad</w:t>
      </w:r>
      <w:r w:rsidR="00A60A01" w:rsidRPr="00A60A01">
        <w:rPr>
          <w:rFonts w:ascii="Century Gothic" w:hAnsi="Century Gothic" w:cs="Galliard-Roman"/>
          <w:sz w:val="24"/>
          <w:szCs w:val="24"/>
        </w:rPr>
        <w:t xml:space="preserve"> es un derecho del cual son titul</w:t>
      </w:r>
      <w:r w:rsidR="0089702F">
        <w:rPr>
          <w:rFonts w:ascii="Century Gothic" w:hAnsi="Century Gothic" w:cs="Galliard-Roman"/>
          <w:sz w:val="24"/>
          <w:szCs w:val="24"/>
        </w:rPr>
        <w:t>ares todas las personas,</w:t>
      </w:r>
      <w:r w:rsidR="008264A3">
        <w:rPr>
          <w:rFonts w:ascii="Century Gothic" w:hAnsi="Century Gothic" w:cs="Galliard-Roman"/>
          <w:sz w:val="24"/>
          <w:szCs w:val="24"/>
        </w:rPr>
        <w:t xml:space="preserve"> sin discriminación alguna, cuyo ejercicio debe ser garantizado por las autoridades estatales de una nación</w:t>
      </w:r>
      <w:r w:rsidR="00A60A01" w:rsidRPr="00A60A01">
        <w:rPr>
          <w:rFonts w:ascii="Century Gothic" w:hAnsi="Century Gothic" w:cs="Galliard-Roman"/>
          <w:sz w:val="24"/>
          <w:szCs w:val="24"/>
        </w:rPr>
        <w:t xml:space="preserve">; sin embargo, </w:t>
      </w:r>
      <w:r w:rsidR="009A461A">
        <w:rPr>
          <w:rFonts w:ascii="Century Gothic" w:hAnsi="Century Gothic" w:cs="Galliard-Roman"/>
          <w:sz w:val="24"/>
          <w:szCs w:val="24"/>
        </w:rPr>
        <w:t>debido</w:t>
      </w:r>
      <w:r w:rsidR="00EA7AE5">
        <w:rPr>
          <w:rFonts w:ascii="Century Gothic" w:hAnsi="Century Gothic" w:cs="Galliard-Roman"/>
          <w:sz w:val="24"/>
          <w:szCs w:val="24"/>
        </w:rPr>
        <w:t xml:space="preserve"> a la complejidad de este derecho</w:t>
      </w:r>
      <w:r w:rsidR="00A60A01" w:rsidRPr="00A60A01">
        <w:rPr>
          <w:rFonts w:ascii="Century Gothic" w:hAnsi="Century Gothic" w:cs="Galliard-Roman"/>
          <w:sz w:val="24"/>
          <w:szCs w:val="24"/>
        </w:rPr>
        <w:t xml:space="preserve">, se </w:t>
      </w:r>
      <w:r w:rsidR="00EA7AE5">
        <w:rPr>
          <w:rFonts w:ascii="Century Gothic" w:hAnsi="Century Gothic" w:cs="Galliard-Roman"/>
          <w:sz w:val="24"/>
          <w:szCs w:val="24"/>
        </w:rPr>
        <w:t>debe</w:t>
      </w:r>
      <w:r w:rsidR="00A60A01" w:rsidRPr="00A60A01">
        <w:rPr>
          <w:rFonts w:ascii="Century Gothic" w:hAnsi="Century Gothic" w:cs="Galliard-Roman"/>
          <w:sz w:val="24"/>
          <w:szCs w:val="24"/>
        </w:rPr>
        <w:t xml:space="preserve"> </w:t>
      </w:r>
      <w:r w:rsidR="00EA7AE5">
        <w:rPr>
          <w:rFonts w:ascii="Century Gothic" w:hAnsi="Century Gothic" w:cs="Galliard-Roman"/>
          <w:sz w:val="24"/>
          <w:szCs w:val="24"/>
        </w:rPr>
        <w:t>establecer</w:t>
      </w:r>
      <w:r w:rsidR="0056005F">
        <w:rPr>
          <w:rFonts w:ascii="Century Gothic" w:hAnsi="Century Gothic" w:cs="Galliard-Roman"/>
          <w:sz w:val="24"/>
          <w:szCs w:val="24"/>
        </w:rPr>
        <w:t xml:space="preserve"> </w:t>
      </w:r>
      <w:r w:rsidR="009A461A">
        <w:rPr>
          <w:rFonts w:ascii="Century Gothic" w:hAnsi="Century Gothic" w:cs="Galliard-Roman"/>
          <w:sz w:val="24"/>
          <w:szCs w:val="24"/>
        </w:rPr>
        <w:t>un trabajo</w:t>
      </w:r>
      <w:r w:rsidR="00EA7AE5">
        <w:rPr>
          <w:rFonts w:ascii="Century Gothic" w:hAnsi="Century Gothic" w:cs="Galliard-Roman"/>
          <w:sz w:val="24"/>
          <w:szCs w:val="24"/>
        </w:rPr>
        <w:t xml:space="preserve"> en</w:t>
      </w:r>
      <w:r w:rsidR="009A461A">
        <w:rPr>
          <w:rFonts w:ascii="Century Gothic" w:hAnsi="Century Gothic" w:cs="Galliard-Roman"/>
          <w:sz w:val="24"/>
          <w:szCs w:val="24"/>
        </w:rPr>
        <w:t xml:space="preserve"> conjunto con la sociedad civilmente organizada</w:t>
      </w:r>
      <w:r w:rsidR="00A60A01" w:rsidRPr="00A60A01">
        <w:rPr>
          <w:rFonts w:ascii="Century Gothic" w:hAnsi="Century Gothic" w:cs="Galliard-Roman"/>
          <w:sz w:val="24"/>
          <w:szCs w:val="24"/>
        </w:rPr>
        <w:t>.</w:t>
      </w:r>
      <w:r w:rsidR="00A60A01">
        <w:rPr>
          <w:rFonts w:ascii="Century Gothic" w:hAnsi="Century Gothic" w:cs="Galliard-Roman"/>
          <w:sz w:val="24"/>
          <w:szCs w:val="24"/>
        </w:rPr>
        <w:t xml:space="preserve"> </w:t>
      </w:r>
      <w:r w:rsidR="00A60A01" w:rsidRPr="00A60A01">
        <w:rPr>
          <w:rFonts w:ascii="Century Gothic" w:hAnsi="Century Gothic" w:cs="Arial"/>
          <w:sz w:val="24"/>
          <w:szCs w:val="24"/>
        </w:rPr>
        <w:t>Un</w:t>
      </w:r>
      <w:r w:rsidR="00FD0A08" w:rsidRPr="00A60A01">
        <w:rPr>
          <w:rFonts w:ascii="Century Gothic" w:hAnsi="Century Gothic" w:cs="Arial"/>
          <w:sz w:val="24"/>
          <w:szCs w:val="24"/>
        </w:rPr>
        <w:t xml:space="preserve"> hábitat adecuado</w:t>
      </w:r>
      <w:r w:rsidR="003449FC">
        <w:rPr>
          <w:rFonts w:ascii="Century Gothic" w:hAnsi="Century Gothic" w:cs="Arial"/>
          <w:sz w:val="24"/>
          <w:szCs w:val="24"/>
        </w:rPr>
        <w:t>, sin lugar a dudas,</w:t>
      </w:r>
      <w:r w:rsidR="00FD0A08" w:rsidRPr="00A60A01">
        <w:rPr>
          <w:rFonts w:ascii="Century Gothic" w:hAnsi="Century Gothic" w:cs="Arial"/>
          <w:sz w:val="24"/>
          <w:szCs w:val="24"/>
        </w:rPr>
        <w:t xml:space="preserve"> propiciaría un mejor desarrollo humano para los habitantes de una ciudad, mejorando la calidad de ésta y garantizando un</w:t>
      </w:r>
      <w:r w:rsidR="00EF4930">
        <w:rPr>
          <w:rFonts w:ascii="Century Gothic" w:hAnsi="Century Gothic" w:cs="Arial"/>
          <w:sz w:val="24"/>
          <w:szCs w:val="24"/>
        </w:rPr>
        <w:t xml:space="preserve"> desarrollo económico local aunado al</w:t>
      </w:r>
      <w:r w:rsidR="00FD0A08" w:rsidRPr="00A60A01">
        <w:rPr>
          <w:rFonts w:ascii="Century Gothic" w:hAnsi="Century Gothic" w:cs="Arial"/>
          <w:sz w:val="24"/>
          <w:szCs w:val="24"/>
        </w:rPr>
        <w:t xml:space="preserve"> libre ejercicio de los derechos humanos de todos sus ciudadanos, en este caso, el derecho a la ciudad.</w:t>
      </w:r>
      <w:r w:rsidR="00A60A01" w:rsidRPr="00A60A01">
        <w:rPr>
          <w:rFonts w:ascii="Century Gothic" w:hAnsi="Century Gothic" w:cs="Arial"/>
          <w:sz w:val="24"/>
          <w:szCs w:val="24"/>
        </w:rPr>
        <w:t xml:space="preserve"> </w:t>
      </w:r>
      <w:bookmarkStart w:id="0" w:name="_GoBack"/>
      <w:bookmarkEnd w:id="0"/>
    </w:p>
    <w:sectPr w:rsidR="00FD0A08" w:rsidRPr="00D860D4" w:rsidSect="00DE720B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A3F" w:rsidRDefault="007D7A3F" w:rsidP="007B31F7">
      <w:pPr>
        <w:spacing w:after="0" w:line="240" w:lineRule="auto"/>
      </w:pPr>
      <w:r>
        <w:separator/>
      </w:r>
    </w:p>
  </w:endnote>
  <w:endnote w:type="continuationSeparator" w:id="0">
    <w:p w:rsidR="007D7A3F" w:rsidRDefault="007D7A3F" w:rsidP="007B3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lliard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A3F" w:rsidRDefault="007D7A3F" w:rsidP="007B31F7">
      <w:pPr>
        <w:spacing w:after="0" w:line="240" w:lineRule="auto"/>
      </w:pPr>
      <w:r>
        <w:separator/>
      </w:r>
    </w:p>
  </w:footnote>
  <w:footnote w:type="continuationSeparator" w:id="0">
    <w:p w:rsidR="007D7A3F" w:rsidRDefault="007D7A3F" w:rsidP="007B31F7">
      <w:pPr>
        <w:spacing w:after="0" w:line="240" w:lineRule="auto"/>
      </w:pPr>
      <w:r>
        <w:continuationSeparator/>
      </w:r>
    </w:p>
  </w:footnote>
  <w:footnote w:id="1">
    <w:p w:rsidR="00CB763E" w:rsidRPr="0070140F" w:rsidRDefault="00CB763E" w:rsidP="0070140F">
      <w:pPr>
        <w:pStyle w:val="Textonotapie"/>
        <w:jc w:val="both"/>
        <w:rPr>
          <w:rFonts w:cstheme="minorHAnsi"/>
          <w:i/>
        </w:rPr>
      </w:pPr>
      <w:r w:rsidRPr="0070140F">
        <w:rPr>
          <w:rStyle w:val="Refdenotaalpie"/>
          <w:rFonts w:cstheme="minorHAnsi"/>
        </w:rPr>
        <w:footnoteRef/>
      </w:r>
      <w:r w:rsidRPr="0070140F">
        <w:rPr>
          <w:rFonts w:cstheme="minorHAnsi"/>
        </w:rPr>
        <w:t xml:space="preserve"> Comisión Mundial sobre el Medio Ambiente y el Desarrollo (1987). </w:t>
      </w:r>
      <w:r w:rsidRPr="0070140F">
        <w:rPr>
          <w:rFonts w:cstheme="minorHAnsi"/>
          <w:i/>
        </w:rPr>
        <w:t>Nuestro Futuro Común.</w:t>
      </w:r>
    </w:p>
  </w:footnote>
  <w:footnote w:id="2">
    <w:p w:rsidR="00F203A8" w:rsidRPr="00F203A8" w:rsidRDefault="00F203A8">
      <w:pPr>
        <w:pStyle w:val="Textonotapie"/>
      </w:pPr>
      <w:r>
        <w:rPr>
          <w:rStyle w:val="Refdenotaalpie"/>
        </w:rPr>
        <w:footnoteRef/>
      </w:r>
      <w:r>
        <w:t xml:space="preserve"> </w:t>
      </w:r>
      <w:proofErr w:type="spellStart"/>
      <w:r>
        <w:t>Habitat</w:t>
      </w:r>
      <w:proofErr w:type="spellEnd"/>
      <w:r>
        <w:t xml:space="preserve"> International </w:t>
      </w:r>
      <w:proofErr w:type="spellStart"/>
      <w:r>
        <w:t>Coalition</w:t>
      </w:r>
      <w:proofErr w:type="spellEnd"/>
      <w:r>
        <w:t xml:space="preserve">. </w:t>
      </w:r>
      <w:r w:rsidRPr="00F203A8">
        <w:rPr>
          <w:i/>
        </w:rPr>
        <w:t>Carta Mundial sobre el Derecho a la Ciudad</w:t>
      </w:r>
      <w:r>
        <w:rPr>
          <w:i/>
        </w:rPr>
        <w:t xml:space="preserve"> </w:t>
      </w:r>
      <w:r>
        <w:t>(</w:t>
      </w:r>
      <w:hyperlink r:id="rId1" w:history="1">
        <w:r w:rsidRPr="00F203A8">
          <w:rPr>
            <w:rStyle w:val="Hipervnculo"/>
            <w:color w:val="auto"/>
            <w:u w:val="none"/>
          </w:rPr>
          <w:t>http://www.hic-net.org/</w:t>
        </w:r>
      </w:hyperlink>
      <w:r w:rsidRPr="00F203A8">
        <w:t>)</w:t>
      </w:r>
      <w:r>
        <w:t xml:space="preserve">. </w:t>
      </w:r>
      <w:r w:rsidRPr="00F203A8">
        <w:t xml:space="preserve"> </w:t>
      </w:r>
    </w:p>
  </w:footnote>
  <w:footnote w:id="3">
    <w:p w:rsidR="00AA78BF" w:rsidRDefault="00AA78BF">
      <w:pPr>
        <w:pStyle w:val="Textonotapie"/>
      </w:pPr>
      <w:r>
        <w:rPr>
          <w:rStyle w:val="Refdenotaalpie"/>
        </w:rPr>
        <w:footnoteRef/>
      </w:r>
      <w:r>
        <w:t xml:space="preserve"> Resolución A/217/III de la Asamblea General </w:t>
      </w:r>
      <w:r w:rsidR="00540534">
        <w:t xml:space="preserve">de la Organización de Naciones Unidas </w:t>
      </w:r>
      <w:r>
        <w:t>del 10 de diciembre de 1948.</w:t>
      </w:r>
    </w:p>
  </w:footnote>
  <w:footnote w:id="4">
    <w:p w:rsidR="0070140F" w:rsidRPr="0070140F" w:rsidRDefault="0070140F" w:rsidP="0070140F">
      <w:pPr>
        <w:autoSpaceDE w:val="0"/>
        <w:autoSpaceDN w:val="0"/>
        <w:adjustRightInd w:val="0"/>
        <w:spacing w:after="0" w:line="240" w:lineRule="auto"/>
        <w:jc w:val="both"/>
        <w:rPr>
          <w:rFonts w:ascii="Galliard-Roman" w:hAnsi="Galliard-Roman" w:cs="Galliard-Roman"/>
          <w:sz w:val="18"/>
          <w:szCs w:val="18"/>
        </w:rPr>
      </w:pPr>
      <w:r w:rsidRPr="0070140F">
        <w:rPr>
          <w:rStyle w:val="Refdenotaalpie"/>
          <w:rFonts w:cstheme="minorHAnsi"/>
          <w:sz w:val="20"/>
          <w:szCs w:val="20"/>
        </w:rPr>
        <w:footnoteRef/>
      </w:r>
      <w:r w:rsidRPr="0070140F">
        <w:rPr>
          <w:rFonts w:cstheme="minorHAnsi"/>
          <w:sz w:val="20"/>
          <w:szCs w:val="20"/>
        </w:rPr>
        <w:t xml:space="preserve"> Correa, L. (2010). ¿Qué significa tener derecho a la ciudad? La ciudad como lugar y posibilidad de los derechos humanos. </w:t>
      </w:r>
      <w:r w:rsidRPr="0070140F">
        <w:rPr>
          <w:rFonts w:cstheme="minorHAnsi"/>
          <w:i/>
          <w:iCs/>
          <w:sz w:val="20"/>
          <w:szCs w:val="20"/>
        </w:rPr>
        <w:t>Territorios</w:t>
      </w:r>
      <w:r w:rsidRPr="0070140F">
        <w:rPr>
          <w:rFonts w:cstheme="minorHAnsi"/>
          <w:sz w:val="20"/>
          <w:szCs w:val="20"/>
        </w:rPr>
        <w:t>, 22, pp. 125-149.</w:t>
      </w:r>
    </w:p>
  </w:footnote>
  <w:footnote w:id="5">
    <w:p w:rsidR="004D3F10" w:rsidRDefault="004D3F10">
      <w:pPr>
        <w:pStyle w:val="Textonotapie"/>
      </w:pPr>
      <w:r>
        <w:rPr>
          <w:rStyle w:val="Refdenotaalpie"/>
        </w:rPr>
        <w:footnoteRef/>
      </w:r>
      <w:r>
        <w:t xml:space="preserve"> Resolución A/RES/70/1 de la Asamblea General de la Organización de Naciones Unidas.</w:t>
      </w:r>
    </w:p>
  </w:footnote>
  <w:footnote w:id="6">
    <w:p w:rsidR="00145FEE" w:rsidRDefault="00145FEE">
      <w:pPr>
        <w:pStyle w:val="Textonotapie"/>
      </w:pPr>
      <w:r>
        <w:rPr>
          <w:rStyle w:val="Refdenotaalpie"/>
        </w:rPr>
        <w:footnoteRef/>
      </w:r>
      <w:r>
        <w:t xml:space="preserve"> Desarrollo Económico, Inclusión Social, Sostenibilidad del Medio Ambiente y Buena Gobernanza (Documento Final de Rio+20 , 2012)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FAF"/>
    <w:rsid w:val="00007EAE"/>
    <w:rsid w:val="00012E08"/>
    <w:rsid w:val="00014A66"/>
    <w:rsid w:val="000464BC"/>
    <w:rsid w:val="00074413"/>
    <w:rsid w:val="00082A9F"/>
    <w:rsid w:val="00090486"/>
    <w:rsid w:val="00096765"/>
    <w:rsid w:val="000A3F40"/>
    <w:rsid w:val="000D2136"/>
    <w:rsid w:val="000E6833"/>
    <w:rsid w:val="001168C3"/>
    <w:rsid w:val="00145FEE"/>
    <w:rsid w:val="00187014"/>
    <w:rsid w:val="001A1541"/>
    <w:rsid w:val="001E054A"/>
    <w:rsid w:val="001E0CDF"/>
    <w:rsid w:val="00240297"/>
    <w:rsid w:val="00260F4F"/>
    <w:rsid w:val="002A6604"/>
    <w:rsid w:val="002B3D20"/>
    <w:rsid w:val="002B6EF1"/>
    <w:rsid w:val="002E5669"/>
    <w:rsid w:val="002F7BF9"/>
    <w:rsid w:val="00313AD1"/>
    <w:rsid w:val="003449FC"/>
    <w:rsid w:val="00346B4E"/>
    <w:rsid w:val="003820D5"/>
    <w:rsid w:val="0038693A"/>
    <w:rsid w:val="0040525D"/>
    <w:rsid w:val="004350FA"/>
    <w:rsid w:val="004B14C4"/>
    <w:rsid w:val="004B421E"/>
    <w:rsid w:val="004C094D"/>
    <w:rsid w:val="004D166D"/>
    <w:rsid w:val="004D3F10"/>
    <w:rsid w:val="00503D1E"/>
    <w:rsid w:val="00540534"/>
    <w:rsid w:val="0054484A"/>
    <w:rsid w:val="005517ED"/>
    <w:rsid w:val="0056005F"/>
    <w:rsid w:val="00595B19"/>
    <w:rsid w:val="005A0548"/>
    <w:rsid w:val="005A0680"/>
    <w:rsid w:val="005B0418"/>
    <w:rsid w:val="005B3B31"/>
    <w:rsid w:val="005C752C"/>
    <w:rsid w:val="00673D37"/>
    <w:rsid w:val="006D73F9"/>
    <w:rsid w:val="006E00E8"/>
    <w:rsid w:val="0070140F"/>
    <w:rsid w:val="00706D31"/>
    <w:rsid w:val="00797E68"/>
    <w:rsid w:val="007B31F7"/>
    <w:rsid w:val="007C3DD1"/>
    <w:rsid w:val="007C72C5"/>
    <w:rsid w:val="007D7A3F"/>
    <w:rsid w:val="00812EAA"/>
    <w:rsid w:val="00817648"/>
    <w:rsid w:val="00817D66"/>
    <w:rsid w:val="008264A3"/>
    <w:rsid w:val="00866D8C"/>
    <w:rsid w:val="0089702F"/>
    <w:rsid w:val="008A2445"/>
    <w:rsid w:val="008A6424"/>
    <w:rsid w:val="008B1E83"/>
    <w:rsid w:val="008C77C5"/>
    <w:rsid w:val="008D50D6"/>
    <w:rsid w:val="008F7F7F"/>
    <w:rsid w:val="00912589"/>
    <w:rsid w:val="0094625D"/>
    <w:rsid w:val="0095020D"/>
    <w:rsid w:val="00951121"/>
    <w:rsid w:val="009760E9"/>
    <w:rsid w:val="009A1A63"/>
    <w:rsid w:val="009A461A"/>
    <w:rsid w:val="009B5916"/>
    <w:rsid w:val="009F34CF"/>
    <w:rsid w:val="009F456F"/>
    <w:rsid w:val="00A07EFE"/>
    <w:rsid w:val="00A1411D"/>
    <w:rsid w:val="00A21253"/>
    <w:rsid w:val="00A60A01"/>
    <w:rsid w:val="00AA78BF"/>
    <w:rsid w:val="00B14CA6"/>
    <w:rsid w:val="00B25FAF"/>
    <w:rsid w:val="00B8799E"/>
    <w:rsid w:val="00BB1BD7"/>
    <w:rsid w:val="00BC3F14"/>
    <w:rsid w:val="00BE109F"/>
    <w:rsid w:val="00C20843"/>
    <w:rsid w:val="00C35763"/>
    <w:rsid w:val="00C604AF"/>
    <w:rsid w:val="00C7331B"/>
    <w:rsid w:val="00CA34C1"/>
    <w:rsid w:val="00CB763E"/>
    <w:rsid w:val="00CD1040"/>
    <w:rsid w:val="00CD3BC2"/>
    <w:rsid w:val="00CE421E"/>
    <w:rsid w:val="00D60666"/>
    <w:rsid w:val="00D7492D"/>
    <w:rsid w:val="00D860D4"/>
    <w:rsid w:val="00DE4C48"/>
    <w:rsid w:val="00DE720B"/>
    <w:rsid w:val="00E131B1"/>
    <w:rsid w:val="00E50B32"/>
    <w:rsid w:val="00EA7AE5"/>
    <w:rsid w:val="00EB0E77"/>
    <w:rsid w:val="00EB36F4"/>
    <w:rsid w:val="00EB3CFA"/>
    <w:rsid w:val="00EF4930"/>
    <w:rsid w:val="00F04E0D"/>
    <w:rsid w:val="00F203A8"/>
    <w:rsid w:val="00F33492"/>
    <w:rsid w:val="00F345D0"/>
    <w:rsid w:val="00F413A1"/>
    <w:rsid w:val="00F41D17"/>
    <w:rsid w:val="00F74747"/>
    <w:rsid w:val="00F84714"/>
    <w:rsid w:val="00FB1280"/>
    <w:rsid w:val="00FB2A55"/>
    <w:rsid w:val="00FD0A08"/>
    <w:rsid w:val="00FF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B31F7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B31F7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7B31F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B31F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B31F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B31F7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F203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B31F7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B31F7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7B31F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B31F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B31F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B31F7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F203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ic-net.org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26BBA-55E8-4E2F-AE8A-FF0662AE9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1004</Words>
  <Characters>5528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6519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Enmanuel</dc:creator>
  <cp:lastModifiedBy>Enmanuel</cp:lastModifiedBy>
  <cp:revision>2</cp:revision>
  <cp:lastPrinted>2016-07-30T18:41:00Z</cp:lastPrinted>
  <dcterms:created xsi:type="dcterms:W3CDTF">2016-07-30T22:47:00Z</dcterms:created>
  <dcterms:modified xsi:type="dcterms:W3CDTF">2016-07-30T22:47:00Z</dcterms:modified>
</cp:coreProperties>
</file>